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C48" w:rsidRPr="00F52C48" w:rsidRDefault="00F52C48" w:rsidP="00F52C48">
      <w:pPr>
        <w:pStyle w:val="Title"/>
        <w:rPr>
          <w:rFonts w:asciiTheme="minorHAnsi" w:hAnsiTheme="minorHAnsi"/>
        </w:rPr>
      </w:pPr>
      <w:r w:rsidRPr="00F52C48">
        <w:rPr>
          <w:rFonts w:asciiTheme="minorHAnsi" w:hAnsiTheme="minorHAnsi"/>
        </w:rPr>
        <w:t>Medication Safety Officer Resource Allocation Justification</w:t>
      </w:r>
    </w:p>
    <w:p w:rsidR="00F52C48" w:rsidRPr="00F52C48" w:rsidRDefault="00F52C48" w:rsidP="00F52C48">
      <w:pPr>
        <w:spacing w:after="0"/>
        <w:rPr>
          <w:rFonts w:asciiTheme="minorHAnsi" w:hAnsiTheme="minorHAnsi"/>
          <w:b/>
          <w:sz w:val="24"/>
          <w:szCs w:val="24"/>
        </w:rPr>
      </w:pPr>
    </w:p>
    <w:p w:rsidR="00F52C48" w:rsidRPr="00F52C48" w:rsidRDefault="00F52C48" w:rsidP="00F52C48">
      <w:pPr>
        <w:spacing w:after="120"/>
        <w:rPr>
          <w:rFonts w:asciiTheme="minorHAnsi" w:hAnsiTheme="minorHAnsi"/>
          <w:b/>
          <w:sz w:val="32"/>
          <w:szCs w:val="24"/>
        </w:rPr>
      </w:pPr>
      <w:r w:rsidRPr="00F52C48">
        <w:rPr>
          <w:rFonts w:asciiTheme="minorHAnsi" w:hAnsiTheme="minorHAnsi"/>
          <w:b/>
          <w:sz w:val="32"/>
          <w:szCs w:val="24"/>
        </w:rPr>
        <w:t xml:space="preserve">Executive Summary </w:t>
      </w:r>
      <w:r>
        <w:rPr>
          <w:rFonts w:asciiTheme="minorHAnsi" w:hAnsiTheme="minorHAnsi"/>
          <w:b/>
          <w:sz w:val="32"/>
          <w:szCs w:val="24"/>
        </w:rPr>
        <w:br/>
      </w:r>
    </w:p>
    <w:tbl>
      <w:tblPr>
        <w:tblStyle w:val="9"/>
        <w:tblW w:w="8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29"/>
      </w:tblGrid>
      <w:tr w:rsidR="00F52C48" w:rsidRPr="00F52C48" w:rsidTr="000D0962">
        <w:trPr>
          <w:trHeight w:val="300"/>
        </w:trPr>
        <w:tc>
          <w:tcPr>
            <w:tcW w:w="8229" w:type="dxa"/>
            <w:tcBorders>
              <w:top w:val="nil"/>
              <w:left w:val="nil"/>
              <w:bottom w:val="single" w:sz="12" w:space="0" w:color="56A0D3"/>
              <w:right w:val="nil"/>
            </w:tcBorders>
          </w:tcPr>
          <w:p w:rsidR="00F52C48" w:rsidRPr="00F52C48" w:rsidRDefault="00F52C48" w:rsidP="000D0962">
            <w:pPr>
              <w:rPr>
                <w:rFonts w:asciiTheme="minorHAnsi" w:hAnsiTheme="minorHAnsi"/>
                <w:b/>
              </w:rPr>
            </w:pPr>
            <w:r w:rsidRPr="00F52C48">
              <w:rPr>
                <w:rFonts w:asciiTheme="minorHAnsi" w:hAnsiTheme="minorHAnsi"/>
                <w:b/>
              </w:rPr>
              <w:t>Introduction</w:t>
            </w:r>
          </w:p>
        </w:tc>
      </w:tr>
    </w:tbl>
    <w:p w:rsidR="00F52C48" w:rsidRPr="00F52C48" w:rsidRDefault="00F52C48" w:rsidP="00F52C48">
      <w:pPr>
        <w:spacing w:after="0"/>
        <w:ind w:left="720"/>
        <w:rPr>
          <w:rFonts w:asciiTheme="minorHAnsi" w:hAnsiTheme="minorHAnsi"/>
        </w:rPr>
      </w:pPr>
    </w:p>
    <w:p w:rsidR="00F52C48" w:rsidRPr="00F52C48" w:rsidRDefault="00F52C48" w:rsidP="00F52C48">
      <w:pPr>
        <w:numPr>
          <w:ilvl w:val="0"/>
          <w:numId w:val="1"/>
        </w:numPr>
        <w:spacing w:after="0"/>
        <w:contextualSpacing/>
        <w:jc w:val="both"/>
        <w:rPr>
          <w:rFonts w:asciiTheme="minorHAnsi" w:hAnsiTheme="minorHAnsi"/>
        </w:rPr>
      </w:pPr>
      <w:r w:rsidRPr="00F52C48">
        <w:rPr>
          <w:rFonts w:asciiTheme="minorHAnsi" w:hAnsiTheme="minorHAnsi"/>
        </w:rPr>
        <w:t>Preventable adverse drug events (ADEs) remain a significant contributor to preventable patient harm within health systems.  In 2006, the Institute of Medicine (IOM) reported that medication errors occur in United States hospitals at a rate of one error per patient per day at a total cost per error of approximately $8,750.</w:t>
      </w:r>
      <w:r w:rsidRPr="00F52C48">
        <w:rPr>
          <w:rFonts w:asciiTheme="minorHAnsi" w:hAnsiTheme="minorHAnsi"/>
          <w:vertAlign w:val="superscript"/>
        </w:rPr>
        <w:t>1,2</w:t>
      </w:r>
    </w:p>
    <w:p w:rsidR="00F52C48" w:rsidRPr="00F52C48" w:rsidRDefault="00F52C48" w:rsidP="00F52C48">
      <w:pPr>
        <w:numPr>
          <w:ilvl w:val="0"/>
          <w:numId w:val="1"/>
        </w:numPr>
        <w:spacing w:after="0"/>
        <w:contextualSpacing/>
        <w:jc w:val="both"/>
        <w:rPr>
          <w:rFonts w:asciiTheme="minorHAnsi" w:hAnsiTheme="minorHAnsi"/>
        </w:rPr>
      </w:pPr>
      <w:r w:rsidRPr="00F52C48">
        <w:rPr>
          <w:rFonts w:asciiTheme="minorHAnsi" w:hAnsiTheme="minorHAnsi"/>
        </w:rPr>
        <w:t>The Medication Safety Officer role, supported by IOM, the National Quality Forum (NQF), and ASHP, is a leader dedicated to patient safety and whose focus of reducing the risks of medication use, is essential to an organization.</w:t>
      </w:r>
      <w:r w:rsidRPr="00F52C48">
        <w:rPr>
          <w:rFonts w:asciiTheme="minorHAnsi" w:hAnsiTheme="minorHAnsi"/>
          <w:vertAlign w:val="superscript"/>
        </w:rPr>
        <w:t>3-6</w:t>
      </w:r>
      <w:r w:rsidRPr="00F52C48">
        <w:rPr>
          <w:rFonts w:asciiTheme="minorHAnsi" w:hAnsiTheme="minorHAnsi"/>
        </w:rPr>
        <w:t xml:space="preserve">  </w:t>
      </w:r>
    </w:p>
    <w:p w:rsidR="00F52C48" w:rsidRPr="00F52C48" w:rsidRDefault="00F52C48" w:rsidP="00F52C48">
      <w:pPr>
        <w:numPr>
          <w:ilvl w:val="0"/>
          <w:numId w:val="1"/>
        </w:numPr>
        <w:spacing w:after="0"/>
        <w:contextualSpacing/>
        <w:jc w:val="both"/>
        <w:rPr>
          <w:rFonts w:asciiTheme="minorHAnsi" w:hAnsiTheme="minorHAnsi"/>
          <w:color w:val="auto"/>
        </w:rPr>
      </w:pPr>
      <w:r w:rsidRPr="00F52C48">
        <w:rPr>
          <w:rFonts w:asciiTheme="minorHAnsi" w:hAnsiTheme="minorHAnsi"/>
          <w:color w:val="auto"/>
        </w:rPr>
        <w:t>Select one of the following:</w:t>
      </w:r>
    </w:p>
    <w:p w:rsidR="00F52C48" w:rsidRPr="00F52C48" w:rsidRDefault="00F52C48" w:rsidP="00F52C48">
      <w:pPr>
        <w:spacing w:after="0"/>
        <w:ind w:left="720"/>
        <w:contextualSpacing/>
        <w:jc w:val="both"/>
        <w:rPr>
          <w:rFonts w:asciiTheme="minorHAnsi" w:hAnsiTheme="minorHAnsi"/>
          <w:color w:val="auto"/>
        </w:rPr>
      </w:pPr>
      <w:r w:rsidRPr="00F52C48">
        <w:rPr>
          <w:rFonts w:asciiTheme="minorHAnsi" w:hAnsiTheme="minorHAnsi"/>
          <w:color w:val="auto"/>
        </w:rPr>
        <w:t>The (insert name of organization &amp; department) does not currently have a dedicated Medication Safety Officer.  A Medication Safety Officer (MSO) has been shown to provide both internal and external support toward safe medication use within the organization.</w:t>
      </w:r>
    </w:p>
    <w:p w:rsidR="00F52C48" w:rsidRPr="00F52C48" w:rsidRDefault="00F52C48" w:rsidP="00F52C48">
      <w:pPr>
        <w:spacing w:after="0"/>
        <w:ind w:left="720"/>
        <w:contextualSpacing/>
        <w:jc w:val="both"/>
        <w:rPr>
          <w:rFonts w:asciiTheme="minorHAnsi" w:hAnsiTheme="minorHAnsi"/>
          <w:color w:val="auto"/>
        </w:rPr>
      </w:pPr>
    </w:p>
    <w:p w:rsidR="00F52C48" w:rsidRPr="00F52C48" w:rsidRDefault="00F52C48" w:rsidP="00F52C48">
      <w:pPr>
        <w:spacing w:after="0"/>
        <w:ind w:left="720"/>
        <w:contextualSpacing/>
        <w:jc w:val="both"/>
        <w:rPr>
          <w:rFonts w:asciiTheme="minorHAnsi" w:hAnsiTheme="minorHAnsi"/>
          <w:color w:val="auto"/>
        </w:rPr>
      </w:pPr>
      <w:r w:rsidRPr="00F52C48">
        <w:rPr>
          <w:rFonts w:asciiTheme="minorHAnsi" w:hAnsiTheme="minorHAnsi"/>
          <w:color w:val="auto"/>
        </w:rPr>
        <w:t>Current medication safety positions at (insert organization name) include (insert position titles, date of last hire). The Medication Safety Officer (MSO) position is a highly visible position for the (insert Department name), providing both internal and external support toward safe medication use within the organization.</w:t>
      </w:r>
    </w:p>
    <w:p w:rsidR="00F52C48" w:rsidRPr="00F52C48" w:rsidRDefault="00F52C48" w:rsidP="00F52C48">
      <w:pPr>
        <w:spacing w:after="360"/>
        <w:ind w:left="720"/>
        <w:contextualSpacing/>
        <w:jc w:val="both"/>
        <w:rPr>
          <w:rFonts w:asciiTheme="minorHAnsi" w:hAnsiTheme="minorHAnsi"/>
        </w:rPr>
      </w:pPr>
    </w:p>
    <w:tbl>
      <w:tblPr>
        <w:tblStyle w:val="8"/>
        <w:tblW w:w="8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29"/>
      </w:tblGrid>
      <w:tr w:rsidR="00F52C48" w:rsidRPr="00F52C48" w:rsidTr="000D0962">
        <w:trPr>
          <w:trHeight w:val="300"/>
        </w:trPr>
        <w:tc>
          <w:tcPr>
            <w:tcW w:w="8229" w:type="dxa"/>
            <w:tcBorders>
              <w:top w:val="nil"/>
              <w:left w:val="nil"/>
              <w:bottom w:val="single" w:sz="12" w:space="0" w:color="56A0D3"/>
              <w:right w:val="nil"/>
            </w:tcBorders>
          </w:tcPr>
          <w:p w:rsidR="00F52C48" w:rsidRPr="00F52C48" w:rsidRDefault="00F52C48" w:rsidP="000D0962">
            <w:pPr>
              <w:rPr>
                <w:rFonts w:asciiTheme="minorHAnsi" w:hAnsiTheme="minorHAnsi"/>
                <w:b/>
              </w:rPr>
            </w:pPr>
            <w:r w:rsidRPr="00F52C48">
              <w:rPr>
                <w:rFonts w:asciiTheme="minorHAnsi" w:hAnsiTheme="minorHAnsi"/>
                <w:b/>
              </w:rPr>
              <w:t>Key Findings</w:t>
            </w:r>
          </w:p>
        </w:tc>
      </w:tr>
    </w:tbl>
    <w:p w:rsidR="00F52C48" w:rsidRPr="00F52C48" w:rsidRDefault="00F52C48" w:rsidP="00F52C48">
      <w:pPr>
        <w:spacing w:after="0"/>
        <w:ind w:left="720"/>
        <w:rPr>
          <w:rFonts w:asciiTheme="minorHAnsi" w:hAnsiTheme="minorHAnsi"/>
        </w:rPr>
      </w:pPr>
    </w:p>
    <w:p w:rsidR="00F52C48" w:rsidRPr="00F52C48" w:rsidRDefault="00F52C48" w:rsidP="00F52C48">
      <w:pPr>
        <w:numPr>
          <w:ilvl w:val="0"/>
          <w:numId w:val="4"/>
        </w:numPr>
        <w:spacing w:after="0"/>
        <w:contextualSpacing/>
        <w:rPr>
          <w:rFonts w:asciiTheme="minorHAnsi" w:hAnsiTheme="minorHAnsi"/>
        </w:rPr>
      </w:pPr>
      <w:r w:rsidRPr="00F52C48">
        <w:rPr>
          <w:rFonts w:asciiTheme="minorHAnsi" w:hAnsiTheme="minorHAnsi"/>
        </w:rPr>
        <w:t xml:space="preserve">There are currently </w:t>
      </w:r>
      <w:sdt>
        <w:sdtPr>
          <w:rPr>
            <w:rFonts w:asciiTheme="minorHAnsi" w:hAnsiTheme="minorHAnsi"/>
          </w:rPr>
          <w:id w:val="-1172793335"/>
          <w:placeholder>
            <w:docPart w:val="7CB76E17489C4E069CE091CAB2A440FC"/>
          </w:placeholder>
          <w:showingPlcHdr/>
        </w:sdtPr>
        <w:sdtEndPr/>
        <w:sdtContent>
          <w:proofErr w:type="gramStart"/>
          <w:r w:rsidRPr="00F52C48">
            <w:rPr>
              <w:rStyle w:val="PlaceholderText"/>
              <w:rFonts w:asciiTheme="minorHAnsi" w:hAnsiTheme="minorHAnsi"/>
            </w:rPr>
            <w:t>Click</w:t>
          </w:r>
          <w:proofErr w:type="gramEnd"/>
          <w:r w:rsidRPr="00F52C48">
            <w:rPr>
              <w:rStyle w:val="PlaceholderText"/>
              <w:rFonts w:asciiTheme="minorHAnsi" w:hAnsiTheme="minorHAnsi"/>
            </w:rPr>
            <w:t xml:space="preserve"> or tap here to enter text.</w:t>
          </w:r>
        </w:sdtContent>
      </w:sdt>
      <w:r w:rsidRPr="00F52C48">
        <w:rPr>
          <w:rFonts w:asciiTheme="minorHAnsi" w:hAnsiTheme="minorHAnsi"/>
        </w:rPr>
        <w:t xml:space="preserve"> FTE at (name of hospital/health-system) committed to medication use safety activities at (insert name of organization).</w:t>
      </w:r>
    </w:p>
    <w:p w:rsidR="00F52C48" w:rsidRPr="00F52C48" w:rsidRDefault="00F52C48" w:rsidP="00F52C48">
      <w:pPr>
        <w:numPr>
          <w:ilvl w:val="0"/>
          <w:numId w:val="4"/>
        </w:numPr>
        <w:spacing w:after="0"/>
        <w:contextualSpacing/>
        <w:rPr>
          <w:rFonts w:asciiTheme="minorHAnsi" w:hAnsiTheme="minorHAnsi"/>
          <w:color w:val="0070C0"/>
        </w:rPr>
      </w:pPr>
      <w:r w:rsidRPr="00F52C48">
        <w:rPr>
          <w:rFonts w:asciiTheme="minorHAnsi" w:hAnsiTheme="minorHAnsi"/>
          <w:color w:val="0070C0"/>
        </w:rPr>
        <w:t>Describe significant gaps identified using the MSO task list gap analysis tool</w:t>
      </w:r>
    </w:p>
    <w:p w:rsidR="00F52C48" w:rsidRPr="00F52C48" w:rsidRDefault="00F52C48" w:rsidP="00F52C48">
      <w:pPr>
        <w:numPr>
          <w:ilvl w:val="0"/>
          <w:numId w:val="4"/>
        </w:numPr>
        <w:spacing w:after="360"/>
        <w:contextualSpacing/>
        <w:rPr>
          <w:rFonts w:asciiTheme="minorHAnsi" w:hAnsiTheme="minorHAnsi"/>
          <w:color w:val="0070C0"/>
        </w:rPr>
      </w:pPr>
      <w:r w:rsidRPr="00F52C48">
        <w:rPr>
          <w:rFonts w:asciiTheme="minorHAnsi" w:hAnsiTheme="minorHAnsi"/>
          <w:color w:val="0070C0"/>
        </w:rPr>
        <w:t xml:space="preserve">Describe business case for MSO position. Examples include organization growth, expanded service lines, unmet patient safety needs. </w:t>
      </w:r>
    </w:p>
    <w:tbl>
      <w:tblPr>
        <w:tblStyle w:val="7"/>
        <w:tblW w:w="8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29"/>
      </w:tblGrid>
      <w:tr w:rsidR="00F52C48" w:rsidRPr="00F52C48" w:rsidTr="000D0962">
        <w:trPr>
          <w:trHeight w:val="300"/>
        </w:trPr>
        <w:tc>
          <w:tcPr>
            <w:tcW w:w="8229" w:type="dxa"/>
            <w:tcBorders>
              <w:top w:val="nil"/>
              <w:left w:val="nil"/>
              <w:bottom w:val="single" w:sz="12" w:space="0" w:color="56A0D3"/>
              <w:right w:val="nil"/>
            </w:tcBorders>
          </w:tcPr>
          <w:p w:rsidR="00F52C48" w:rsidRPr="00F52C48" w:rsidRDefault="00F52C48" w:rsidP="000D0962">
            <w:pPr>
              <w:rPr>
                <w:rFonts w:asciiTheme="minorHAnsi" w:hAnsiTheme="minorHAnsi"/>
                <w:b/>
              </w:rPr>
            </w:pPr>
            <w:r w:rsidRPr="00F52C48">
              <w:rPr>
                <w:rFonts w:asciiTheme="minorHAnsi" w:hAnsiTheme="minorHAnsi"/>
                <w:b/>
              </w:rPr>
              <w:t>Recommendations</w:t>
            </w:r>
          </w:p>
        </w:tc>
      </w:tr>
    </w:tbl>
    <w:p w:rsidR="00F52C48" w:rsidRPr="00F52C48" w:rsidRDefault="00F52C48" w:rsidP="00F52C48">
      <w:pPr>
        <w:spacing w:after="0"/>
        <w:ind w:left="720"/>
        <w:rPr>
          <w:rFonts w:asciiTheme="minorHAnsi" w:hAnsiTheme="minorHAnsi"/>
        </w:rPr>
      </w:pPr>
    </w:p>
    <w:p w:rsidR="00F52C48" w:rsidRPr="00F52C48" w:rsidRDefault="00F52C48" w:rsidP="00F52C48">
      <w:pPr>
        <w:numPr>
          <w:ilvl w:val="0"/>
          <w:numId w:val="3"/>
        </w:numPr>
        <w:spacing w:after="0"/>
        <w:contextualSpacing/>
        <w:rPr>
          <w:rFonts w:asciiTheme="minorHAnsi" w:hAnsiTheme="minorHAnsi"/>
        </w:rPr>
      </w:pPr>
      <w:r w:rsidRPr="00F52C48">
        <w:rPr>
          <w:rFonts w:asciiTheme="minorHAnsi" w:hAnsiTheme="minorHAnsi"/>
        </w:rPr>
        <w:t xml:space="preserve">Add </w:t>
      </w:r>
      <w:sdt>
        <w:sdtPr>
          <w:rPr>
            <w:rFonts w:asciiTheme="minorHAnsi" w:hAnsiTheme="minorHAnsi"/>
          </w:rPr>
          <w:id w:val="1421762091"/>
          <w:placeholder>
            <w:docPart w:val="620664EFF02E434194D4DD640483D755"/>
          </w:placeholder>
          <w:showingPlcHdr/>
        </w:sdtPr>
        <w:sdtEndPr/>
        <w:sdtContent>
          <w:r w:rsidRPr="00F52C48">
            <w:rPr>
              <w:rStyle w:val="PlaceholderText"/>
              <w:rFonts w:asciiTheme="minorHAnsi" w:hAnsiTheme="minorHAnsi"/>
            </w:rPr>
            <w:t>Click or tap here to enter text.</w:t>
          </w:r>
        </w:sdtContent>
      </w:sdt>
      <w:r w:rsidRPr="00F52C48">
        <w:rPr>
          <w:rFonts w:asciiTheme="minorHAnsi" w:hAnsiTheme="minorHAnsi"/>
        </w:rPr>
        <w:t>FTE for a new position, Medication Safety Officer which will allow for continued growth of the scope of medication safety activities facilitated by the (insert Department name).</w:t>
      </w:r>
    </w:p>
    <w:p w:rsidR="00F52C48" w:rsidRPr="00F52C48" w:rsidRDefault="00F52C48" w:rsidP="00F52C48">
      <w:pPr>
        <w:numPr>
          <w:ilvl w:val="0"/>
          <w:numId w:val="3"/>
        </w:numPr>
        <w:spacing w:after="0"/>
        <w:contextualSpacing/>
        <w:rPr>
          <w:rFonts w:asciiTheme="minorHAnsi" w:hAnsiTheme="minorHAnsi"/>
          <w:color w:val="0070C0"/>
        </w:rPr>
      </w:pPr>
      <w:r w:rsidRPr="00F52C48">
        <w:rPr>
          <w:rFonts w:asciiTheme="minorHAnsi" w:hAnsiTheme="minorHAnsi"/>
          <w:color w:val="0070C0"/>
        </w:rPr>
        <w:t xml:space="preserve">Describe the proposed organization chart/structure for this position including who it will report </w:t>
      </w:r>
      <w:r w:rsidRPr="00F52C48">
        <w:rPr>
          <w:rFonts w:asciiTheme="minorHAnsi" w:hAnsiTheme="minorHAnsi"/>
          <w:color w:val="0070C0"/>
        </w:rPr>
        <w:lastRenderedPageBreak/>
        <w:t xml:space="preserve">to. Some considerations include: Pharmacy leadership role (e.g., Director, AD), Patient Safety Officer, leader within Quality &amp; Safety role. </w:t>
      </w:r>
    </w:p>
    <w:p w:rsidR="00F52C48" w:rsidRPr="00F52C48" w:rsidRDefault="00F52C48" w:rsidP="00F52C48">
      <w:pPr>
        <w:jc w:val="both"/>
        <w:rPr>
          <w:rFonts w:asciiTheme="minorHAnsi" w:hAnsiTheme="minorHAnsi"/>
          <w:b/>
          <w:sz w:val="24"/>
          <w:szCs w:val="24"/>
        </w:rPr>
      </w:pPr>
    </w:p>
    <w:p w:rsidR="00F52C48" w:rsidRPr="00F52C48" w:rsidRDefault="00F52C48" w:rsidP="00F52C48">
      <w:pPr>
        <w:jc w:val="both"/>
        <w:rPr>
          <w:rFonts w:asciiTheme="minorHAnsi" w:hAnsiTheme="minorHAnsi"/>
          <w:b/>
          <w:sz w:val="24"/>
          <w:szCs w:val="24"/>
        </w:rPr>
      </w:pPr>
    </w:p>
    <w:p w:rsidR="00F52C48" w:rsidRPr="00F52C48" w:rsidRDefault="00F52C48" w:rsidP="00F52C48">
      <w:pPr>
        <w:jc w:val="both"/>
        <w:rPr>
          <w:rFonts w:asciiTheme="minorHAnsi" w:hAnsiTheme="minorHAnsi"/>
          <w:b/>
          <w:sz w:val="24"/>
          <w:szCs w:val="24"/>
        </w:rPr>
      </w:pPr>
      <w:r w:rsidRPr="00F52C48">
        <w:rPr>
          <w:rFonts w:asciiTheme="minorHAnsi" w:hAnsiTheme="minorHAnsi"/>
          <w:b/>
          <w:sz w:val="24"/>
          <w:szCs w:val="24"/>
        </w:rPr>
        <w:t>Position Proposal</w:t>
      </w:r>
    </w:p>
    <w:p w:rsidR="00F52C48" w:rsidRPr="00F52C48" w:rsidRDefault="00F52C48" w:rsidP="00F52C48">
      <w:pPr>
        <w:spacing w:after="360"/>
        <w:jc w:val="both"/>
        <w:rPr>
          <w:rFonts w:asciiTheme="minorHAnsi" w:hAnsiTheme="minorHAnsi"/>
        </w:rPr>
      </w:pPr>
      <w:r w:rsidRPr="00F52C48">
        <w:rPr>
          <w:rFonts w:asciiTheme="minorHAnsi" w:hAnsiTheme="minorHAnsi"/>
        </w:rPr>
        <w:t xml:space="preserve">With this proposal we are requesting an additional </w:t>
      </w:r>
      <w:sdt>
        <w:sdtPr>
          <w:rPr>
            <w:rFonts w:asciiTheme="minorHAnsi" w:hAnsiTheme="minorHAnsi"/>
          </w:rPr>
          <w:id w:val="307298543"/>
          <w:placeholder>
            <w:docPart w:val="620664EFF02E434194D4DD640483D755"/>
          </w:placeholder>
          <w:showingPlcHdr/>
        </w:sdtPr>
        <w:sdtEndPr/>
        <w:sdtContent>
          <w:r w:rsidRPr="00F52C48">
            <w:rPr>
              <w:rStyle w:val="PlaceholderText"/>
              <w:rFonts w:asciiTheme="minorHAnsi" w:hAnsiTheme="minorHAnsi"/>
            </w:rPr>
            <w:t>Click or tap here to enter text.</w:t>
          </w:r>
        </w:sdtContent>
      </w:sdt>
      <w:r w:rsidRPr="00F52C48">
        <w:rPr>
          <w:rFonts w:asciiTheme="minorHAnsi" w:hAnsiTheme="minorHAnsi"/>
        </w:rPr>
        <w:t xml:space="preserve"> </w:t>
      </w:r>
      <w:bookmarkStart w:id="0" w:name="_GoBack"/>
      <w:bookmarkEnd w:id="0"/>
      <w:proofErr w:type="gramStart"/>
      <w:r w:rsidRPr="00F52C48">
        <w:rPr>
          <w:rFonts w:asciiTheme="minorHAnsi" w:hAnsiTheme="minorHAnsi"/>
        </w:rPr>
        <w:t>FTE to be utilized to create a new position, Medication Safety Officer.</w:t>
      </w:r>
      <w:proofErr w:type="gramEnd"/>
      <w:r w:rsidRPr="00F52C48">
        <w:rPr>
          <w:rFonts w:asciiTheme="minorHAnsi" w:hAnsiTheme="minorHAnsi"/>
        </w:rPr>
        <w:t xml:space="preserve">  The position would reside within the </w:t>
      </w:r>
      <w:sdt>
        <w:sdtPr>
          <w:rPr>
            <w:rFonts w:asciiTheme="minorHAnsi" w:hAnsiTheme="minorHAnsi"/>
          </w:rPr>
          <w:id w:val="469092935"/>
          <w:placeholder>
            <w:docPart w:val="620664EFF02E434194D4DD640483D755"/>
          </w:placeholder>
        </w:sdtPr>
        <w:sdtEndPr/>
        <w:sdtContent>
          <w:sdt>
            <w:sdtPr>
              <w:rPr>
                <w:rFonts w:asciiTheme="minorHAnsi" w:hAnsiTheme="minorHAnsi"/>
              </w:rPr>
              <w:id w:val="-661085859"/>
              <w:placeholder>
                <w:docPart w:val="620664EFF02E434194D4DD640483D755"/>
              </w:placeholder>
            </w:sdtPr>
            <w:sdtEndPr/>
            <w:sdtContent>
              <w:r w:rsidRPr="00F52C48">
                <w:rPr>
                  <w:rStyle w:val="PlaceholderText"/>
                  <w:rFonts w:asciiTheme="minorHAnsi" w:hAnsiTheme="minorHAnsi"/>
                </w:rPr>
                <w:t>Click or tap here to enter text.</w:t>
              </w:r>
            </w:sdtContent>
          </w:sdt>
        </w:sdtContent>
      </w:sdt>
      <w:r w:rsidRPr="00F52C48">
        <w:rPr>
          <w:rFonts w:asciiTheme="minorHAnsi" w:hAnsiTheme="minorHAnsi"/>
        </w:rPr>
        <w:t xml:space="preserve"> </w:t>
      </w:r>
      <w:proofErr w:type="gramStart"/>
      <w:r w:rsidRPr="00F52C48">
        <w:rPr>
          <w:rFonts w:asciiTheme="minorHAnsi" w:hAnsiTheme="minorHAnsi"/>
        </w:rPr>
        <w:t>and</w:t>
      </w:r>
      <w:proofErr w:type="gramEnd"/>
      <w:r w:rsidRPr="00F52C48">
        <w:rPr>
          <w:rFonts w:asciiTheme="minorHAnsi" w:hAnsiTheme="minorHAnsi"/>
        </w:rPr>
        <w:t xml:space="preserve"> would report to the </w:t>
      </w:r>
      <w:sdt>
        <w:sdtPr>
          <w:rPr>
            <w:rFonts w:asciiTheme="minorHAnsi" w:hAnsiTheme="minorHAnsi"/>
          </w:rPr>
          <w:id w:val="-869452570"/>
          <w:placeholder>
            <w:docPart w:val="620664EFF02E434194D4DD640483D755"/>
          </w:placeholder>
        </w:sdtPr>
        <w:sdtEndPr/>
        <w:sdtContent>
          <w:r w:rsidRPr="00F52C48">
            <w:rPr>
              <w:rStyle w:val="PlaceholderText"/>
              <w:rFonts w:asciiTheme="minorHAnsi" w:hAnsiTheme="minorHAnsi"/>
            </w:rPr>
            <w:t>Click or tap here to enter text.</w:t>
          </w:r>
        </w:sdtContent>
      </w:sdt>
      <w:r w:rsidRPr="00F52C48">
        <w:rPr>
          <w:rFonts w:asciiTheme="minorHAnsi" w:hAnsiTheme="minorHAnsi"/>
        </w:rPr>
        <w:t xml:space="preserve"> The addition of this position would allow the </w:t>
      </w:r>
      <w:sdt>
        <w:sdtPr>
          <w:rPr>
            <w:rFonts w:asciiTheme="minorHAnsi" w:hAnsiTheme="minorHAnsi"/>
          </w:rPr>
          <w:id w:val="-773407706"/>
          <w:placeholder>
            <w:docPart w:val="620664EFF02E434194D4DD640483D755"/>
          </w:placeholder>
        </w:sdtPr>
        <w:sdtEndPr/>
        <w:sdtContent>
          <w:r w:rsidRPr="00F52C48">
            <w:rPr>
              <w:rStyle w:val="PlaceholderText"/>
              <w:rFonts w:asciiTheme="minorHAnsi" w:hAnsiTheme="minorHAnsi"/>
            </w:rPr>
            <w:t>Click or tap here to enter text.</w:t>
          </w:r>
        </w:sdtContent>
      </w:sdt>
      <w:proofErr w:type="gramStart"/>
      <w:r w:rsidRPr="00F52C48">
        <w:rPr>
          <w:rFonts w:asciiTheme="minorHAnsi" w:hAnsiTheme="minorHAnsi"/>
        </w:rPr>
        <w:t>to</w:t>
      </w:r>
      <w:proofErr w:type="gramEnd"/>
      <w:r w:rsidRPr="00F52C48">
        <w:rPr>
          <w:rFonts w:asciiTheme="minorHAnsi" w:hAnsiTheme="minorHAnsi"/>
        </w:rPr>
        <w:t xml:space="preserve"> realize unmet medication safety needs.  </w:t>
      </w:r>
    </w:p>
    <w:p w:rsidR="00F52C48" w:rsidRPr="00F52C48" w:rsidRDefault="00F52C48" w:rsidP="00F52C48">
      <w:pPr>
        <w:spacing w:after="0"/>
        <w:jc w:val="both"/>
        <w:rPr>
          <w:rFonts w:asciiTheme="minorHAnsi" w:hAnsiTheme="minorHAnsi"/>
          <w:i/>
          <w:color w:val="0070C0"/>
        </w:rPr>
      </w:pPr>
      <w:r w:rsidRPr="00F52C48">
        <w:rPr>
          <w:rFonts w:asciiTheme="minorHAnsi" w:hAnsiTheme="minorHAnsi"/>
          <w:i/>
          <w:color w:val="0070C0"/>
        </w:rPr>
        <w:t>The introductory paragraph can be used to state your request. It includes background on:</w:t>
      </w:r>
    </w:p>
    <w:p w:rsidR="00F52C48" w:rsidRPr="00F52C48" w:rsidRDefault="00F52C48" w:rsidP="00F52C48">
      <w:pPr>
        <w:pStyle w:val="ListParagraph"/>
        <w:numPr>
          <w:ilvl w:val="0"/>
          <w:numId w:val="11"/>
        </w:numPr>
        <w:spacing w:after="360"/>
        <w:jc w:val="both"/>
        <w:rPr>
          <w:rFonts w:asciiTheme="minorHAnsi" w:hAnsiTheme="minorHAnsi"/>
          <w:i/>
          <w:color w:val="0070C0"/>
        </w:rPr>
      </w:pPr>
      <w:r w:rsidRPr="00F52C48">
        <w:rPr>
          <w:rFonts w:asciiTheme="minorHAnsi" w:hAnsiTheme="minorHAnsi"/>
          <w:i/>
          <w:color w:val="0070C0"/>
        </w:rPr>
        <w:t>Is this a completely new position or an addition to existing medication safety FTEs</w:t>
      </w:r>
    </w:p>
    <w:p w:rsidR="00F52C48" w:rsidRPr="00F52C48" w:rsidRDefault="00F52C48" w:rsidP="00F52C48">
      <w:pPr>
        <w:pStyle w:val="ListParagraph"/>
        <w:numPr>
          <w:ilvl w:val="0"/>
          <w:numId w:val="11"/>
        </w:numPr>
        <w:spacing w:after="360"/>
        <w:jc w:val="both"/>
        <w:rPr>
          <w:rFonts w:asciiTheme="minorHAnsi" w:hAnsiTheme="minorHAnsi"/>
          <w:i/>
          <w:color w:val="0070C0"/>
        </w:rPr>
      </w:pPr>
      <w:r w:rsidRPr="00F52C48">
        <w:rPr>
          <w:rFonts w:asciiTheme="minorHAnsi" w:hAnsiTheme="minorHAnsi"/>
          <w:i/>
          <w:color w:val="0070C0"/>
        </w:rPr>
        <w:t>The department this position resides in</w:t>
      </w:r>
    </w:p>
    <w:p w:rsidR="00F52C48" w:rsidRPr="00F52C48" w:rsidRDefault="00F52C48" w:rsidP="00F52C48">
      <w:pPr>
        <w:pStyle w:val="ListParagraph"/>
        <w:numPr>
          <w:ilvl w:val="0"/>
          <w:numId w:val="11"/>
        </w:numPr>
        <w:spacing w:after="360"/>
        <w:jc w:val="both"/>
        <w:rPr>
          <w:rFonts w:asciiTheme="minorHAnsi" w:hAnsiTheme="minorHAnsi"/>
          <w:i/>
          <w:color w:val="0070C0"/>
        </w:rPr>
      </w:pPr>
      <w:r w:rsidRPr="00F52C48">
        <w:rPr>
          <w:rFonts w:asciiTheme="minorHAnsi" w:hAnsiTheme="minorHAnsi"/>
          <w:i/>
          <w:color w:val="0070C0"/>
        </w:rPr>
        <w:t>Reporting structure</w:t>
      </w:r>
    </w:p>
    <w:p w:rsidR="00F52C48" w:rsidRPr="00F52C48" w:rsidRDefault="00F52C48" w:rsidP="00F52C48">
      <w:pPr>
        <w:spacing w:after="360"/>
        <w:jc w:val="both"/>
        <w:rPr>
          <w:rFonts w:asciiTheme="minorHAnsi" w:hAnsiTheme="minorHAnsi"/>
        </w:rPr>
      </w:pPr>
      <w:r w:rsidRPr="00F52C48">
        <w:rPr>
          <w:rFonts w:asciiTheme="minorHAnsi" w:hAnsiTheme="minorHAnsi"/>
        </w:rPr>
        <w:t>Preventable adverse drug events (ADEs) remain a significant contributor to preventable patient harm within health systems.  In 2006, the Institute of Medicine (IOM) reported that medication errors occur in the United States hospitals at a rate of one error per patient per day at a total cost per error of approximately $8,750.</w:t>
      </w:r>
      <w:r w:rsidRPr="00F52C48">
        <w:rPr>
          <w:rFonts w:asciiTheme="minorHAnsi" w:hAnsiTheme="minorHAnsi"/>
          <w:vertAlign w:val="superscript"/>
        </w:rPr>
        <w:t>1,2</w:t>
      </w:r>
      <w:r w:rsidRPr="00F52C48">
        <w:rPr>
          <w:rFonts w:asciiTheme="minorHAnsi" w:hAnsiTheme="minorHAnsi"/>
        </w:rPr>
        <w:t xml:space="preserve">  In addition, regulatory agencies, accrediting bodies, third-party </w:t>
      </w:r>
      <w:proofErr w:type="spellStart"/>
      <w:r w:rsidRPr="00F52C48">
        <w:rPr>
          <w:rFonts w:asciiTheme="minorHAnsi" w:hAnsiTheme="minorHAnsi"/>
        </w:rPr>
        <w:t>payors</w:t>
      </w:r>
      <w:proofErr w:type="spellEnd"/>
      <w:r w:rsidRPr="00F52C48">
        <w:rPr>
          <w:rFonts w:asciiTheme="minorHAnsi" w:hAnsiTheme="minorHAnsi"/>
        </w:rPr>
        <w:t xml:space="preserve"> and patients are creating forceful demands centered on medication safety initiatives.</w:t>
      </w:r>
      <w:r w:rsidRPr="00F52C48">
        <w:rPr>
          <w:rFonts w:asciiTheme="minorHAnsi" w:hAnsiTheme="minorHAnsi"/>
          <w:vertAlign w:val="superscript"/>
        </w:rPr>
        <w:t>7</w:t>
      </w:r>
      <w:r w:rsidRPr="00F52C48">
        <w:rPr>
          <w:rFonts w:asciiTheme="minorHAnsi" w:hAnsiTheme="minorHAnsi"/>
        </w:rPr>
        <w:t xml:space="preserve">  The average cost for hospitals to defend malpractice claims due to an ADE has been shown to range from $64,700 - $376,500).</w:t>
      </w:r>
      <w:r w:rsidRPr="00F52C48">
        <w:rPr>
          <w:rFonts w:asciiTheme="minorHAnsi" w:hAnsiTheme="minorHAnsi"/>
          <w:vertAlign w:val="superscript"/>
        </w:rPr>
        <w:t>8</w:t>
      </w:r>
      <w:r w:rsidRPr="00F52C48">
        <w:rPr>
          <w:rFonts w:asciiTheme="minorHAnsi" w:hAnsiTheme="minorHAnsi"/>
        </w:rPr>
        <w:t xml:space="preserve"> A medication error with associated public disclosure and media attention can furthermore harm the reputation of an organization. Dedicating additional resources to medication safety is necessary to meet these and future needs. The requested position will be instrumental in planning, implementing, and monitoring medication safety risk reduction strategies to reduce risk associated with loss of reputation while also improving the safety of patients. </w:t>
      </w:r>
    </w:p>
    <w:p w:rsidR="00F52C48" w:rsidRPr="00F52C48" w:rsidRDefault="00F52C48" w:rsidP="00F52C48">
      <w:pPr>
        <w:spacing w:after="360"/>
        <w:jc w:val="both"/>
        <w:rPr>
          <w:rFonts w:asciiTheme="minorHAnsi" w:hAnsiTheme="minorHAnsi"/>
          <w:i/>
          <w:color w:val="0070C0"/>
        </w:rPr>
      </w:pPr>
      <w:r w:rsidRPr="00F52C48">
        <w:rPr>
          <w:rFonts w:asciiTheme="minorHAnsi" w:hAnsiTheme="minorHAnsi"/>
          <w:i/>
          <w:color w:val="0070C0"/>
        </w:rPr>
        <w:t xml:space="preserve">This paragraph provides background primary literature to help support the need for medication safety resources.  As new literature emerges you may want to include that here.  Consider modification of this paragraph to target what is important to your immediate and organizational leadership teams.  </w:t>
      </w:r>
    </w:p>
    <w:p w:rsidR="00F52C48" w:rsidRPr="00F52C48" w:rsidRDefault="00F52C48" w:rsidP="00F52C48">
      <w:pPr>
        <w:spacing w:after="360"/>
        <w:jc w:val="both"/>
        <w:rPr>
          <w:rFonts w:asciiTheme="minorHAnsi" w:hAnsiTheme="minorHAnsi"/>
        </w:rPr>
      </w:pPr>
      <w:proofErr w:type="gramStart"/>
      <w:r w:rsidRPr="00F52C48">
        <w:rPr>
          <w:rFonts w:asciiTheme="minorHAnsi" w:hAnsiTheme="minorHAnsi"/>
        </w:rPr>
        <w:t xml:space="preserve">A summary of current </w:t>
      </w:r>
      <w:sdt>
        <w:sdtPr>
          <w:rPr>
            <w:rFonts w:asciiTheme="minorHAnsi" w:hAnsiTheme="minorHAnsi"/>
          </w:rPr>
          <w:id w:val="277155631"/>
          <w:placeholder>
            <w:docPart w:val="620664EFF02E434194D4DD640483D755"/>
          </w:placeholder>
        </w:sdtPr>
        <w:sdtEndPr/>
        <w:sdtContent>
          <w:r w:rsidRPr="00F52C48">
            <w:rPr>
              <w:rStyle w:val="PlaceholderText"/>
              <w:rFonts w:asciiTheme="minorHAnsi" w:hAnsiTheme="minorHAnsi"/>
            </w:rPr>
            <w:t>Click or tap here to enter text.</w:t>
          </w:r>
          <w:proofErr w:type="gramEnd"/>
        </w:sdtContent>
      </w:sdt>
      <w:r w:rsidRPr="00F52C48">
        <w:rPr>
          <w:rFonts w:asciiTheme="minorHAnsi" w:hAnsiTheme="minorHAnsi"/>
        </w:rPr>
        <w:t xml:space="preserve"> </w:t>
      </w:r>
      <w:proofErr w:type="gramStart"/>
      <w:r w:rsidRPr="00F52C48">
        <w:rPr>
          <w:rFonts w:asciiTheme="minorHAnsi" w:hAnsiTheme="minorHAnsi"/>
        </w:rPr>
        <w:t>medication</w:t>
      </w:r>
      <w:proofErr w:type="gramEnd"/>
      <w:r w:rsidRPr="00F52C48">
        <w:rPr>
          <w:rFonts w:asciiTheme="minorHAnsi" w:hAnsiTheme="minorHAnsi"/>
        </w:rPr>
        <w:t xml:space="preserve"> safety gaps and growth opportunities that would be addressed through addition of this position is provided in Appendix A. </w:t>
      </w:r>
    </w:p>
    <w:p w:rsidR="00F52C48" w:rsidRPr="00F52C48" w:rsidRDefault="00F52C48" w:rsidP="00F52C48">
      <w:pPr>
        <w:spacing w:after="360"/>
        <w:jc w:val="both"/>
        <w:rPr>
          <w:rFonts w:asciiTheme="minorHAnsi" w:hAnsiTheme="minorHAnsi"/>
          <w:i/>
          <w:color w:val="0070C0"/>
        </w:rPr>
      </w:pPr>
      <w:r w:rsidRPr="00F52C48">
        <w:rPr>
          <w:rFonts w:asciiTheme="minorHAnsi" w:hAnsiTheme="minorHAnsi"/>
          <w:i/>
          <w:color w:val="0070C0"/>
        </w:rPr>
        <w:t xml:space="preserve">In this paragraph, summarize why adding this FTE is necessary.  If requesting an initial FTE frame the requests as gaps that are not being met. Consider describing how current FTEs have (or have not) taken on responsibilities that would reside with a dedicated medication safety FTE. If requesting an additional FTE, consider describing growth of the current role(s) and how additional FFTEs will aid in meeting identified gaps. </w:t>
      </w:r>
    </w:p>
    <w:p w:rsidR="00F52C48" w:rsidRPr="00F52C48" w:rsidRDefault="00F52C48" w:rsidP="00F52C48">
      <w:pPr>
        <w:spacing w:after="360"/>
        <w:jc w:val="both"/>
        <w:rPr>
          <w:rFonts w:asciiTheme="minorHAnsi" w:hAnsiTheme="minorHAnsi"/>
          <w:i/>
          <w:color w:val="0070C0"/>
        </w:rPr>
      </w:pPr>
      <w:r w:rsidRPr="00F52C48">
        <w:rPr>
          <w:rFonts w:asciiTheme="minorHAnsi" w:hAnsiTheme="minorHAnsi"/>
          <w:i/>
          <w:color w:val="0070C0"/>
        </w:rPr>
        <w:lastRenderedPageBreak/>
        <w:t xml:space="preserve">Reference is made to Appendix A in this paragraph.  Further description of how to use the Medication Safety Activity Gap Analysis Tool is found within the toolkit folder. </w:t>
      </w:r>
    </w:p>
    <w:p w:rsidR="00F52C48" w:rsidRPr="00F52C48" w:rsidRDefault="00F52C48" w:rsidP="00F52C48">
      <w:pPr>
        <w:spacing w:after="0"/>
        <w:contextualSpacing/>
        <w:jc w:val="both"/>
        <w:rPr>
          <w:rFonts w:asciiTheme="minorHAnsi" w:hAnsiTheme="minorHAnsi"/>
          <w:b/>
          <w:i/>
          <w:color w:val="0070C0"/>
        </w:rPr>
      </w:pPr>
    </w:p>
    <w:p w:rsidR="00F52C48" w:rsidRPr="00F52C48" w:rsidRDefault="00F52C48" w:rsidP="00F52C48">
      <w:pPr>
        <w:spacing w:after="0"/>
        <w:contextualSpacing/>
        <w:jc w:val="both"/>
        <w:rPr>
          <w:rFonts w:asciiTheme="minorHAnsi" w:hAnsiTheme="minorHAnsi"/>
          <w:b/>
          <w:i/>
          <w:color w:val="0070C0"/>
        </w:rPr>
      </w:pPr>
      <w:r w:rsidRPr="00F52C48">
        <w:rPr>
          <w:rFonts w:asciiTheme="minorHAnsi" w:hAnsiTheme="minorHAnsi"/>
          <w:b/>
          <w:i/>
          <w:color w:val="0070C0"/>
        </w:rPr>
        <w:t xml:space="preserve">Note: Each organization may have </w:t>
      </w:r>
      <w:proofErr w:type="gramStart"/>
      <w:r w:rsidRPr="00F52C48">
        <w:rPr>
          <w:rFonts w:asciiTheme="minorHAnsi" w:hAnsiTheme="minorHAnsi"/>
          <w:b/>
          <w:i/>
          <w:color w:val="0070C0"/>
        </w:rPr>
        <w:t>their own</w:t>
      </w:r>
      <w:proofErr w:type="gramEnd"/>
      <w:r w:rsidRPr="00F52C48">
        <w:rPr>
          <w:rFonts w:asciiTheme="minorHAnsi" w:hAnsiTheme="minorHAnsi"/>
          <w:b/>
          <w:i/>
          <w:color w:val="0070C0"/>
        </w:rPr>
        <w:t xml:space="preserve"> unique FTE justification template.  The sections included here are suggested categories that can help organize information presented in this FTE justification document.  </w:t>
      </w:r>
    </w:p>
    <w:p w:rsidR="00F52C48" w:rsidRPr="00F52C48" w:rsidRDefault="00F52C48" w:rsidP="00F52C48">
      <w:pPr>
        <w:spacing w:after="0"/>
        <w:contextualSpacing/>
        <w:jc w:val="both"/>
        <w:rPr>
          <w:rFonts w:asciiTheme="minorHAnsi" w:hAnsiTheme="minorHAnsi"/>
          <w:b/>
          <w:i/>
          <w:color w:val="FF0000"/>
        </w:rPr>
      </w:pPr>
    </w:p>
    <w:p w:rsidR="00F52C48" w:rsidRPr="00F52C48" w:rsidRDefault="00F52C48" w:rsidP="00F52C48">
      <w:pPr>
        <w:numPr>
          <w:ilvl w:val="0"/>
          <w:numId w:val="5"/>
        </w:numPr>
        <w:spacing w:after="0"/>
        <w:contextualSpacing/>
        <w:jc w:val="both"/>
        <w:rPr>
          <w:rFonts w:asciiTheme="minorHAnsi" w:hAnsiTheme="minorHAnsi"/>
          <w:b/>
        </w:rPr>
      </w:pPr>
      <w:r w:rsidRPr="00F52C48">
        <w:rPr>
          <w:rFonts w:asciiTheme="minorHAnsi" w:hAnsiTheme="minorHAnsi"/>
          <w:b/>
        </w:rPr>
        <w:t>Describe the relevance and need of the job requested</w:t>
      </w:r>
    </w:p>
    <w:p w:rsidR="00F52C48" w:rsidRPr="00F52C48" w:rsidRDefault="00F52C48" w:rsidP="00F52C48">
      <w:pPr>
        <w:pStyle w:val="ListParagraph"/>
        <w:spacing w:after="0"/>
        <w:ind w:left="360"/>
        <w:jc w:val="both"/>
        <w:rPr>
          <w:rFonts w:asciiTheme="minorHAnsi" w:hAnsiTheme="minorHAnsi"/>
        </w:rPr>
      </w:pPr>
      <w:r w:rsidRPr="00F52C48">
        <w:rPr>
          <w:rFonts w:asciiTheme="minorHAnsi" w:hAnsiTheme="minorHAnsi"/>
        </w:rPr>
        <w:t xml:space="preserve">The Medication Safety Officer is a position that is highly visible within the </w:t>
      </w:r>
      <w:sdt>
        <w:sdtPr>
          <w:rPr>
            <w:rFonts w:asciiTheme="minorHAnsi" w:hAnsiTheme="minorHAnsi"/>
          </w:rPr>
          <w:id w:val="2101137736"/>
          <w:placeholder>
            <w:docPart w:val="620664EFF02E434194D4DD640483D755"/>
          </w:placeholder>
        </w:sdtPr>
        <w:sdtEndPr/>
        <w:sdtContent>
          <w:r w:rsidRPr="00F52C48">
            <w:rPr>
              <w:rStyle w:val="PlaceholderText"/>
              <w:rFonts w:asciiTheme="minorHAnsi" w:hAnsiTheme="minorHAnsi"/>
            </w:rPr>
            <w:t>Click or tap here to enter text.</w:t>
          </w:r>
        </w:sdtContent>
      </w:sdt>
      <w:r w:rsidRPr="00F52C48">
        <w:rPr>
          <w:rFonts w:asciiTheme="minorHAnsi" w:hAnsiTheme="minorHAnsi"/>
        </w:rPr>
        <w:t xml:space="preserve"> </w:t>
      </w:r>
      <w:proofErr w:type="gramStart"/>
      <w:r w:rsidRPr="00F52C48">
        <w:rPr>
          <w:rFonts w:asciiTheme="minorHAnsi" w:hAnsiTheme="minorHAnsi"/>
        </w:rPr>
        <w:t>providing</w:t>
      </w:r>
      <w:proofErr w:type="gramEnd"/>
      <w:r w:rsidRPr="00F52C48">
        <w:rPr>
          <w:rFonts w:asciiTheme="minorHAnsi" w:hAnsiTheme="minorHAnsi"/>
        </w:rPr>
        <w:t xml:space="preserve"> medication safety leadership throughout the organization.  Participation in and growth of the following activities has resulted in the need to expand the current FTE allocation.</w:t>
      </w:r>
    </w:p>
    <w:p w:rsidR="00F52C48" w:rsidRPr="00F52C48" w:rsidRDefault="00F52C48" w:rsidP="00F52C48">
      <w:pPr>
        <w:spacing w:after="0"/>
        <w:jc w:val="both"/>
        <w:rPr>
          <w:rFonts w:asciiTheme="minorHAnsi" w:hAnsiTheme="minorHAnsi"/>
          <w:color w:val="FF0000"/>
        </w:rPr>
      </w:pPr>
    </w:p>
    <w:p w:rsidR="00F52C48" w:rsidRPr="00F52C48" w:rsidRDefault="00F52C48" w:rsidP="00F52C48">
      <w:pPr>
        <w:spacing w:after="0"/>
        <w:jc w:val="both"/>
        <w:rPr>
          <w:rFonts w:asciiTheme="minorHAnsi" w:hAnsiTheme="minorHAnsi"/>
          <w:i/>
          <w:color w:val="0070C0"/>
        </w:rPr>
      </w:pPr>
      <w:r w:rsidRPr="00F52C48">
        <w:rPr>
          <w:rFonts w:asciiTheme="minorHAnsi" w:hAnsiTheme="minorHAnsi"/>
          <w:i/>
          <w:color w:val="0070C0"/>
        </w:rPr>
        <w:t xml:space="preserve">Using the Gap Analysis Tool, summarize medication safety tasks that are not being done or which require a disproportionate amount of current FTE time/effort. </w:t>
      </w:r>
    </w:p>
    <w:p w:rsidR="00F52C48" w:rsidRPr="00F52C48" w:rsidRDefault="00F52C48" w:rsidP="00F52C48">
      <w:pPr>
        <w:spacing w:after="0"/>
        <w:jc w:val="both"/>
        <w:rPr>
          <w:rFonts w:asciiTheme="minorHAnsi" w:hAnsiTheme="minorHAnsi"/>
          <w:strike/>
        </w:rPr>
      </w:pPr>
    </w:p>
    <w:p w:rsidR="00F52C48" w:rsidRPr="00F52C48" w:rsidRDefault="00F52C48" w:rsidP="00F52C48">
      <w:pPr>
        <w:spacing w:after="0"/>
        <w:jc w:val="both"/>
        <w:rPr>
          <w:rFonts w:asciiTheme="minorHAnsi" w:hAnsiTheme="minorHAnsi"/>
          <w:i/>
          <w:color w:val="0070C0"/>
        </w:rPr>
      </w:pPr>
      <w:r w:rsidRPr="00F52C48">
        <w:rPr>
          <w:rFonts w:asciiTheme="minorHAnsi" w:hAnsiTheme="minorHAnsi"/>
          <w:i/>
          <w:color w:val="0070C0"/>
        </w:rPr>
        <w:t>The following descriptions are provided as examples of how to summarize identified gaps. Include any addition gaps identified, specifically focusing on those that align strategically with organization and department goals and initiatives.</w:t>
      </w:r>
    </w:p>
    <w:p w:rsidR="00F52C48" w:rsidRPr="00F52C48" w:rsidRDefault="00F52C48" w:rsidP="00F52C48">
      <w:pPr>
        <w:spacing w:after="0"/>
        <w:ind w:left="360"/>
        <w:jc w:val="both"/>
        <w:rPr>
          <w:rFonts w:asciiTheme="minorHAnsi" w:hAnsiTheme="minorHAnsi"/>
        </w:rPr>
      </w:pPr>
    </w:p>
    <w:p w:rsidR="00F52C48" w:rsidRPr="00F52C48" w:rsidRDefault="00F52C48" w:rsidP="00F52C48">
      <w:pPr>
        <w:spacing w:after="0"/>
        <w:ind w:left="1800"/>
        <w:jc w:val="both"/>
        <w:rPr>
          <w:rFonts w:asciiTheme="minorHAnsi" w:hAnsiTheme="minorHAnsi"/>
        </w:rPr>
      </w:pPr>
    </w:p>
    <w:p w:rsidR="00F52C48" w:rsidRPr="00F52C48" w:rsidRDefault="00F52C48" w:rsidP="00F52C48">
      <w:pPr>
        <w:spacing w:after="0"/>
        <w:ind w:left="360"/>
        <w:contextualSpacing/>
        <w:jc w:val="both"/>
        <w:rPr>
          <w:rFonts w:asciiTheme="minorHAnsi" w:hAnsiTheme="minorHAnsi"/>
          <w:b/>
          <w:i/>
        </w:rPr>
      </w:pPr>
      <w:r w:rsidRPr="00F52C48">
        <w:rPr>
          <w:rFonts w:asciiTheme="minorHAnsi" w:hAnsiTheme="minorHAnsi"/>
          <w:b/>
          <w:i/>
        </w:rPr>
        <w:t>Medication Error Reporting</w:t>
      </w:r>
    </w:p>
    <w:p w:rsidR="00F52C48" w:rsidRPr="00F52C48" w:rsidRDefault="00F52C48" w:rsidP="00F52C48">
      <w:pPr>
        <w:spacing w:after="0"/>
        <w:ind w:left="360"/>
        <w:jc w:val="both"/>
        <w:rPr>
          <w:rFonts w:asciiTheme="minorHAnsi" w:hAnsiTheme="minorHAnsi"/>
        </w:rPr>
      </w:pPr>
      <w:r w:rsidRPr="00F52C48">
        <w:rPr>
          <w:rFonts w:asciiTheme="minorHAnsi" w:hAnsiTheme="minorHAnsi"/>
        </w:rPr>
        <w:t xml:space="preserve">One of the core tasks fulfilled by the Medication Safety Officer is reviewing voluntarily reported medication errors that are submitted through (insert hospitals voluntary reporting system name).  A summary of the number of medication-related errors submitted through (voluntary reporting system name) can be found in Table 1.  </w:t>
      </w:r>
    </w:p>
    <w:p w:rsidR="00F52C48" w:rsidRPr="00F52C48" w:rsidRDefault="00F52C48" w:rsidP="00F52C48">
      <w:pPr>
        <w:ind w:left="720"/>
        <w:jc w:val="both"/>
        <w:rPr>
          <w:rFonts w:asciiTheme="minorHAnsi" w:hAnsiTheme="minorHAnsi"/>
        </w:rPr>
      </w:pPr>
    </w:p>
    <w:p w:rsidR="00F52C48" w:rsidRPr="00F52C48" w:rsidRDefault="00F52C48" w:rsidP="00F52C48">
      <w:pPr>
        <w:ind w:left="720"/>
        <w:jc w:val="both"/>
        <w:rPr>
          <w:rFonts w:asciiTheme="minorHAnsi" w:hAnsiTheme="minorHAnsi"/>
          <w:i/>
          <w:color w:val="0070C0"/>
        </w:rPr>
      </w:pPr>
      <w:r w:rsidRPr="00F52C48">
        <w:rPr>
          <w:rFonts w:asciiTheme="minorHAnsi" w:hAnsiTheme="minorHAnsi"/>
          <w:i/>
          <w:color w:val="0070C0"/>
        </w:rPr>
        <w:t xml:space="preserve">This is one way you can present information on your voluntary error reporting data.  If your organization uses a specific error reporting metric (e.g., error reports/100 patient days) include those here. </w:t>
      </w:r>
    </w:p>
    <w:tbl>
      <w:tblPr>
        <w:tblStyle w:val="6"/>
        <w:tblW w:w="9018" w:type="dxa"/>
        <w:jc w:val="center"/>
        <w:tblBorders>
          <w:top w:val="nil"/>
          <w:left w:val="nil"/>
          <w:bottom w:val="nil"/>
          <w:right w:val="nil"/>
          <w:insideH w:val="nil"/>
          <w:insideV w:val="nil"/>
        </w:tblBorders>
        <w:tblLayout w:type="fixed"/>
        <w:tblLook w:val="0400" w:firstRow="0" w:lastRow="0" w:firstColumn="0" w:lastColumn="0" w:noHBand="0" w:noVBand="1"/>
      </w:tblPr>
      <w:tblGrid>
        <w:gridCol w:w="1818"/>
        <w:gridCol w:w="3510"/>
        <w:gridCol w:w="3690"/>
      </w:tblGrid>
      <w:tr w:rsidR="00F52C48" w:rsidRPr="00F52C48" w:rsidTr="000D0962">
        <w:trPr>
          <w:jc w:val="center"/>
        </w:trPr>
        <w:tc>
          <w:tcPr>
            <w:tcW w:w="9018" w:type="dxa"/>
            <w:gridSpan w:val="3"/>
            <w:tcBorders>
              <w:bottom w:val="single" w:sz="4" w:space="0" w:color="000000"/>
            </w:tcBorders>
            <w:vAlign w:val="center"/>
          </w:tcPr>
          <w:p w:rsidR="00F52C48" w:rsidRPr="00F52C48" w:rsidRDefault="00F52C48" w:rsidP="000D0962">
            <w:pPr>
              <w:spacing w:after="120"/>
              <w:rPr>
                <w:rFonts w:asciiTheme="minorHAnsi" w:hAnsiTheme="minorHAnsi"/>
                <w:color w:val="00B050"/>
              </w:rPr>
            </w:pPr>
            <w:r w:rsidRPr="00F52C48">
              <w:rPr>
                <w:rFonts w:asciiTheme="minorHAnsi" w:hAnsiTheme="minorHAnsi"/>
                <w:color w:val="00B050"/>
              </w:rPr>
              <w:t>Table 1. Medication Error Reporting Volume</w:t>
            </w:r>
          </w:p>
        </w:tc>
      </w:tr>
      <w:tr w:rsidR="00F52C48" w:rsidRPr="00F52C48" w:rsidTr="000D0962">
        <w:trPr>
          <w:jc w:val="center"/>
        </w:trPr>
        <w:tc>
          <w:tcPr>
            <w:tcW w:w="1818" w:type="dxa"/>
            <w:tcBorders>
              <w:top w:val="single" w:sz="4" w:space="0" w:color="000000"/>
              <w:bottom w:val="single" w:sz="4" w:space="0" w:color="000000"/>
            </w:tcBorders>
            <w:vAlign w:val="center"/>
          </w:tcPr>
          <w:p w:rsidR="00F52C48" w:rsidRPr="00F52C48" w:rsidRDefault="00F52C48" w:rsidP="000D0962">
            <w:pPr>
              <w:rPr>
                <w:rFonts w:asciiTheme="minorHAnsi" w:hAnsiTheme="minorHAnsi"/>
                <w:color w:val="00B050"/>
              </w:rPr>
            </w:pPr>
            <w:r w:rsidRPr="00F52C48">
              <w:rPr>
                <w:rFonts w:asciiTheme="minorHAnsi" w:hAnsiTheme="minorHAnsi"/>
                <w:color w:val="00B050"/>
              </w:rPr>
              <w:t>Year (Fiscal Year)</w:t>
            </w:r>
          </w:p>
        </w:tc>
        <w:tc>
          <w:tcPr>
            <w:tcW w:w="3510" w:type="dxa"/>
            <w:tcBorders>
              <w:top w:val="single" w:sz="4" w:space="0" w:color="000000"/>
              <w:bottom w:val="single" w:sz="4" w:space="0" w:color="000000"/>
            </w:tcBorders>
            <w:vAlign w:val="center"/>
          </w:tcPr>
          <w:p w:rsidR="00F52C48" w:rsidRPr="00F52C48" w:rsidRDefault="00F52C48" w:rsidP="000D0962">
            <w:pPr>
              <w:jc w:val="center"/>
              <w:rPr>
                <w:rFonts w:asciiTheme="minorHAnsi" w:hAnsiTheme="minorHAnsi"/>
                <w:color w:val="00B050"/>
              </w:rPr>
            </w:pPr>
            <w:r w:rsidRPr="00F52C48">
              <w:rPr>
                <w:rFonts w:asciiTheme="minorHAnsi" w:hAnsiTheme="minorHAnsi"/>
                <w:color w:val="00B050"/>
              </w:rPr>
              <w:t>Number of Medication-related Error Submissions (Monthly Average)</w:t>
            </w:r>
          </w:p>
        </w:tc>
        <w:tc>
          <w:tcPr>
            <w:tcW w:w="3690" w:type="dxa"/>
            <w:tcBorders>
              <w:top w:val="single" w:sz="4" w:space="0" w:color="000000"/>
              <w:bottom w:val="single" w:sz="4" w:space="0" w:color="000000"/>
            </w:tcBorders>
            <w:vAlign w:val="center"/>
          </w:tcPr>
          <w:p w:rsidR="00F52C48" w:rsidRPr="00F52C48" w:rsidRDefault="00F52C48" w:rsidP="000D0962">
            <w:pPr>
              <w:jc w:val="center"/>
              <w:rPr>
                <w:rFonts w:asciiTheme="minorHAnsi" w:hAnsiTheme="minorHAnsi"/>
                <w:color w:val="00B050"/>
              </w:rPr>
            </w:pPr>
            <w:r w:rsidRPr="00F52C48">
              <w:rPr>
                <w:rFonts w:asciiTheme="minorHAnsi" w:hAnsiTheme="minorHAnsi"/>
                <w:color w:val="00B050"/>
              </w:rPr>
              <w:t>Number of Medication-related Error Submissions w/ Severity Greater than E</w:t>
            </w:r>
            <w:r w:rsidRPr="00F52C48">
              <w:rPr>
                <w:rFonts w:asciiTheme="minorHAnsi" w:hAnsiTheme="minorHAnsi"/>
                <w:color w:val="00B050"/>
                <w:vertAlign w:val="superscript"/>
              </w:rPr>
              <w:t xml:space="preserve">1 </w:t>
            </w:r>
            <w:r w:rsidRPr="00F52C48">
              <w:rPr>
                <w:rFonts w:asciiTheme="minorHAnsi" w:hAnsiTheme="minorHAnsi"/>
                <w:color w:val="00B050"/>
              </w:rPr>
              <w:t>(Monthly Average)</w:t>
            </w:r>
          </w:p>
        </w:tc>
      </w:tr>
      <w:tr w:rsidR="00F52C48" w:rsidRPr="00F52C48" w:rsidTr="000D0962">
        <w:trPr>
          <w:jc w:val="center"/>
        </w:trPr>
        <w:tc>
          <w:tcPr>
            <w:tcW w:w="1818" w:type="dxa"/>
            <w:tcBorders>
              <w:top w:val="single" w:sz="4" w:space="0" w:color="000000"/>
            </w:tcBorders>
            <w:vAlign w:val="center"/>
          </w:tcPr>
          <w:p w:rsidR="00F52C48" w:rsidRPr="00F52C48" w:rsidRDefault="00F52C48" w:rsidP="000D0962">
            <w:pPr>
              <w:rPr>
                <w:rFonts w:asciiTheme="minorHAnsi" w:hAnsiTheme="minorHAnsi"/>
                <w:color w:val="00B050"/>
              </w:rPr>
            </w:pPr>
            <w:r w:rsidRPr="00F52C48">
              <w:rPr>
                <w:rFonts w:asciiTheme="minorHAnsi" w:hAnsiTheme="minorHAnsi"/>
                <w:color w:val="00B050"/>
              </w:rPr>
              <w:t>2014</w:t>
            </w:r>
          </w:p>
        </w:tc>
        <w:tc>
          <w:tcPr>
            <w:tcW w:w="3510" w:type="dxa"/>
            <w:tcBorders>
              <w:top w:val="single" w:sz="4" w:space="0" w:color="000000"/>
            </w:tcBorders>
            <w:vAlign w:val="center"/>
          </w:tcPr>
          <w:p w:rsidR="00F52C48" w:rsidRPr="00F52C48" w:rsidRDefault="00F52C48" w:rsidP="000D0962">
            <w:pPr>
              <w:jc w:val="center"/>
              <w:rPr>
                <w:rFonts w:asciiTheme="minorHAnsi" w:hAnsiTheme="minorHAnsi"/>
                <w:color w:val="00B050"/>
                <w:vertAlign w:val="superscript"/>
              </w:rPr>
            </w:pPr>
            <w:r w:rsidRPr="00F52C48">
              <w:rPr>
                <w:rFonts w:asciiTheme="minorHAnsi" w:hAnsiTheme="minorHAnsi"/>
                <w:color w:val="00B050"/>
              </w:rPr>
              <w:t>1,113 (139)</w:t>
            </w:r>
          </w:p>
        </w:tc>
        <w:tc>
          <w:tcPr>
            <w:tcW w:w="3690" w:type="dxa"/>
            <w:tcBorders>
              <w:top w:val="single" w:sz="4" w:space="0" w:color="000000"/>
            </w:tcBorders>
            <w:vAlign w:val="center"/>
          </w:tcPr>
          <w:p w:rsidR="00F52C48" w:rsidRPr="00F52C48" w:rsidRDefault="00F52C48" w:rsidP="000D0962">
            <w:pPr>
              <w:jc w:val="center"/>
              <w:rPr>
                <w:rFonts w:asciiTheme="minorHAnsi" w:hAnsiTheme="minorHAnsi"/>
                <w:color w:val="00B050"/>
              </w:rPr>
            </w:pPr>
            <w:r w:rsidRPr="00F52C48">
              <w:rPr>
                <w:rFonts w:asciiTheme="minorHAnsi" w:hAnsiTheme="minorHAnsi"/>
                <w:color w:val="00B050"/>
              </w:rPr>
              <w:t>198 (25)</w:t>
            </w:r>
          </w:p>
        </w:tc>
      </w:tr>
      <w:tr w:rsidR="00F52C48" w:rsidRPr="00F52C48" w:rsidTr="000D0962">
        <w:trPr>
          <w:jc w:val="center"/>
        </w:trPr>
        <w:tc>
          <w:tcPr>
            <w:tcW w:w="1818" w:type="dxa"/>
            <w:vAlign w:val="center"/>
          </w:tcPr>
          <w:p w:rsidR="00F52C48" w:rsidRPr="00F52C48" w:rsidRDefault="00F52C48" w:rsidP="000D0962">
            <w:pPr>
              <w:rPr>
                <w:rFonts w:asciiTheme="minorHAnsi" w:hAnsiTheme="minorHAnsi"/>
                <w:color w:val="00B050"/>
              </w:rPr>
            </w:pPr>
            <w:r w:rsidRPr="00F52C48">
              <w:rPr>
                <w:rFonts w:asciiTheme="minorHAnsi" w:hAnsiTheme="minorHAnsi"/>
                <w:color w:val="00B050"/>
              </w:rPr>
              <w:t>2015</w:t>
            </w:r>
          </w:p>
        </w:tc>
        <w:tc>
          <w:tcPr>
            <w:tcW w:w="3510" w:type="dxa"/>
            <w:vAlign w:val="center"/>
          </w:tcPr>
          <w:p w:rsidR="00F52C48" w:rsidRPr="00F52C48" w:rsidRDefault="00F52C48" w:rsidP="000D0962">
            <w:pPr>
              <w:jc w:val="center"/>
              <w:rPr>
                <w:rFonts w:asciiTheme="minorHAnsi" w:hAnsiTheme="minorHAnsi"/>
                <w:color w:val="00B050"/>
              </w:rPr>
            </w:pPr>
            <w:r w:rsidRPr="00F52C48">
              <w:rPr>
                <w:rFonts w:asciiTheme="minorHAnsi" w:hAnsiTheme="minorHAnsi"/>
                <w:color w:val="00B050"/>
              </w:rPr>
              <w:t>1,349 (112)</w:t>
            </w:r>
          </w:p>
        </w:tc>
        <w:tc>
          <w:tcPr>
            <w:tcW w:w="3690" w:type="dxa"/>
            <w:vAlign w:val="center"/>
          </w:tcPr>
          <w:p w:rsidR="00F52C48" w:rsidRPr="00F52C48" w:rsidRDefault="00F52C48" w:rsidP="000D0962">
            <w:pPr>
              <w:jc w:val="center"/>
              <w:rPr>
                <w:rFonts w:asciiTheme="minorHAnsi" w:hAnsiTheme="minorHAnsi"/>
                <w:color w:val="00B050"/>
              </w:rPr>
            </w:pPr>
            <w:r w:rsidRPr="00F52C48">
              <w:rPr>
                <w:rFonts w:asciiTheme="minorHAnsi" w:hAnsiTheme="minorHAnsi"/>
                <w:color w:val="00B050"/>
              </w:rPr>
              <w:t>210 (18)</w:t>
            </w:r>
          </w:p>
        </w:tc>
      </w:tr>
      <w:tr w:rsidR="00F52C48" w:rsidRPr="00F52C48" w:rsidTr="000D0962">
        <w:trPr>
          <w:jc w:val="center"/>
        </w:trPr>
        <w:tc>
          <w:tcPr>
            <w:tcW w:w="1818" w:type="dxa"/>
            <w:tcBorders>
              <w:bottom w:val="single" w:sz="4" w:space="0" w:color="000000"/>
            </w:tcBorders>
            <w:vAlign w:val="center"/>
          </w:tcPr>
          <w:p w:rsidR="00F52C48" w:rsidRPr="00F52C48" w:rsidRDefault="00F52C48" w:rsidP="000D0962">
            <w:pPr>
              <w:rPr>
                <w:rFonts w:asciiTheme="minorHAnsi" w:hAnsiTheme="minorHAnsi"/>
                <w:color w:val="00B050"/>
              </w:rPr>
            </w:pPr>
            <w:r w:rsidRPr="00F52C48">
              <w:rPr>
                <w:rFonts w:asciiTheme="minorHAnsi" w:hAnsiTheme="minorHAnsi"/>
                <w:color w:val="00B050"/>
              </w:rPr>
              <w:t>2016</w:t>
            </w:r>
          </w:p>
        </w:tc>
        <w:tc>
          <w:tcPr>
            <w:tcW w:w="3510" w:type="dxa"/>
            <w:tcBorders>
              <w:bottom w:val="single" w:sz="4" w:space="0" w:color="000000"/>
            </w:tcBorders>
            <w:vAlign w:val="center"/>
          </w:tcPr>
          <w:p w:rsidR="00F52C48" w:rsidRPr="00F52C48" w:rsidRDefault="00F52C48" w:rsidP="000D0962">
            <w:pPr>
              <w:jc w:val="center"/>
              <w:rPr>
                <w:rFonts w:asciiTheme="minorHAnsi" w:hAnsiTheme="minorHAnsi"/>
                <w:color w:val="00B050"/>
              </w:rPr>
            </w:pPr>
            <w:r w:rsidRPr="00F52C48">
              <w:rPr>
                <w:rFonts w:asciiTheme="minorHAnsi" w:hAnsiTheme="minorHAnsi"/>
                <w:color w:val="00B050"/>
              </w:rPr>
              <w:t>1,599 (133)</w:t>
            </w:r>
          </w:p>
        </w:tc>
        <w:tc>
          <w:tcPr>
            <w:tcW w:w="3690" w:type="dxa"/>
            <w:tcBorders>
              <w:bottom w:val="single" w:sz="4" w:space="0" w:color="000000"/>
            </w:tcBorders>
            <w:vAlign w:val="center"/>
          </w:tcPr>
          <w:p w:rsidR="00F52C48" w:rsidRPr="00F52C48" w:rsidRDefault="00F52C48" w:rsidP="000D0962">
            <w:pPr>
              <w:jc w:val="center"/>
              <w:rPr>
                <w:rFonts w:asciiTheme="minorHAnsi" w:hAnsiTheme="minorHAnsi"/>
                <w:color w:val="00B050"/>
              </w:rPr>
            </w:pPr>
            <w:r w:rsidRPr="00F52C48">
              <w:rPr>
                <w:rFonts w:asciiTheme="minorHAnsi" w:hAnsiTheme="minorHAnsi"/>
                <w:color w:val="00B050"/>
              </w:rPr>
              <w:t>441 (37)</w:t>
            </w:r>
          </w:p>
        </w:tc>
      </w:tr>
    </w:tbl>
    <w:p w:rsidR="00F52C48" w:rsidRPr="00F52C48" w:rsidRDefault="00F52C48" w:rsidP="00F52C48">
      <w:pPr>
        <w:numPr>
          <w:ilvl w:val="0"/>
          <w:numId w:val="7"/>
        </w:numPr>
        <w:spacing w:after="0"/>
        <w:contextualSpacing/>
        <w:rPr>
          <w:rFonts w:asciiTheme="minorHAnsi" w:hAnsiTheme="minorHAnsi"/>
          <w:color w:val="00B050"/>
          <w:sz w:val="20"/>
          <w:szCs w:val="20"/>
        </w:rPr>
      </w:pPr>
      <w:r w:rsidRPr="00F52C48">
        <w:rPr>
          <w:rFonts w:asciiTheme="minorHAnsi" w:hAnsiTheme="minorHAnsi"/>
          <w:color w:val="00B050"/>
          <w:sz w:val="20"/>
          <w:szCs w:val="20"/>
        </w:rPr>
        <w:t>Severity E indicates an error that reached the patient and contributed to or resulted in temporary harm to the patient and required intervention as defined by NCC MERP</w:t>
      </w:r>
      <w:r w:rsidRPr="00F52C48">
        <w:rPr>
          <w:rFonts w:asciiTheme="minorHAnsi" w:hAnsiTheme="minorHAnsi"/>
          <w:color w:val="00B050"/>
          <w:sz w:val="20"/>
          <w:szCs w:val="20"/>
          <w:vertAlign w:val="superscript"/>
        </w:rPr>
        <w:t>5</w:t>
      </w:r>
    </w:p>
    <w:p w:rsidR="00F52C48" w:rsidRPr="00F52C48" w:rsidRDefault="00F52C48" w:rsidP="00F52C48">
      <w:pPr>
        <w:spacing w:after="0"/>
        <w:ind w:left="720"/>
        <w:jc w:val="both"/>
        <w:rPr>
          <w:rFonts w:asciiTheme="minorHAnsi" w:hAnsiTheme="minorHAnsi"/>
        </w:rPr>
      </w:pPr>
    </w:p>
    <w:p w:rsidR="00F52C48" w:rsidRPr="00F52C48" w:rsidRDefault="00F52C48" w:rsidP="00F52C48">
      <w:pPr>
        <w:spacing w:after="0"/>
        <w:ind w:left="720"/>
        <w:jc w:val="both"/>
        <w:rPr>
          <w:rFonts w:asciiTheme="minorHAnsi" w:hAnsiTheme="minorHAnsi"/>
          <w:i/>
          <w:color w:val="FF0000"/>
        </w:rPr>
      </w:pPr>
      <w:r w:rsidRPr="00F52C48">
        <w:rPr>
          <w:rFonts w:asciiTheme="minorHAnsi" w:hAnsiTheme="minorHAnsi"/>
          <w:i/>
          <w:color w:val="0070C0"/>
        </w:rPr>
        <w:t>Based on your date, summarize your key findings and take-</w:t>
      </w:r>
      <w:proofErr w:type="spellStart"/>
      <w:r w:rsidRPr="00F52C48">
        <w:rPr>
          <w:rFonts w:asciiTheme="minorHAnsi" w:hAnsiTheme="minorHAnsi"/>
          <w:i/>
          <w:color w:val="0070C0"/>
        </w:rPr>
        <w:t>aways</w:t>
      </w:r>
      <w:proofErr w:type="spellEnd"/>
      <w:r w:rsidRPr="00F52C48">
        <w:rPr>
          <w:rFonts w:asciiTheme="minorHAnsi" w:hAnsiTheme="minorHAnsi"/>
          <w:i/>
          <w:color w:val="0070C0"/>
        </w:rPr>
        <w:t xml:space="preserve"> your leadership team should </w:t>
      </w:r>
      <w:r w:rsidRPr="00F52C48">
        <w:rPr>
          <w:rFonts w:asciiTheme="minorHAnsi" w:hAnsiTheme="minorHAnsi"/>
          <w:i/>
          <w:color w:val="0070C0"/>
        </w:rPr>
        <w:lastRenderedPageBreak/>
        <w:t>know.  In this example, the emphasis was placed on increased numbers of overall error reports as well as increases in the number of harm events reported.  As with any error reporting data presentation, reinforcing that this data is not reflective of increasing errors, but increasing reporting.  An example of an error analysis summary is provided below.</w:t>
      </w:r>
    </w:p>
    <w:p w:rsidR="00F52C48" w:rsidRPr="00F52C48" w:rsidRDefault="00F52C48" w:rsidP="00F52C48">
      <w:pPr>
        <w:spacing w:after="0"/>
        <w:ind w:left="720"/>
        <w:jc w:val="both"/>
        <w:rPr>
          <w:rFonts w:asciiTheme="minorHAnsi" w:hAnsiTheme="minorHAnsi"/>
          <w:color w:val="FF0000"/>
        </w:rPr>
      </w:pPr>
    </w:p>
    <w:p w:rsidR="00F52C48" w:rsidRPr="00F52C48" w:rsidRDefault="00F52C48" w:rsidP="00F52C48">
      <w:pPr>
        <w:spacing w:after="0"/>
        <w:ind w:left="360"/>
        <w:jc w:val="both"/>
        <w:rPr>
          <w:rFonts w:asciiTheme="minorHAnsi" w:hAnsiTheme="minorHAnsi"/>
          <w:color w:val="00B050"/>
        </w:rPr>
      </w:pPr>
      <w:r w:rsidRPr="00F52C48">
        <w:rPr>
          <w:rFonts w:asciiTheme="minorHAnsi" w:hAnsiTheme="minorHAnsi"/>
          <w:color w:val="00B050"/>
        </w:rPr>
        <w:t xml:space="preserve">The number of reported medication errors submitted via (voluntary reporting system) has increased x% in the previous x years.  On average, x reported medication errors were submitted each month during fiscal year </w:t>
      </w:r>
      <w:proofErr w:type="spellStart"/>
      <w:r w:rsidRPr="00F52C48">
        <w:rPr>
          <w:rFonts w:asciiTheme="minorHAnsi" w:hAnsiTheme="minorHAnsi"/>
          <w:color w:val="00B050"/>
        </w:rPr>
        <w:t>xxxx</w:t>
      </w:r>
      <w:proofErr w:type="spellEnd"/>
      <w:r w:rsidRPr="00F52C48">
        <w:rPr>
          <w:rFonts w:asciiTheme="minorHAnsi" w:hAnsiTheme="minorHAnsi"/>
          <w:color w:val="00B050"/>
        </w:rPr>
        <w:t xml:space="preserve">. Furthermore, the number of reported errors that reached the patient and required monitoring increased x%, with a monthly average of x reported errors in fiscal year </w:t>
      </w:r>
      <w:proofErr w:type="spellStart"/>
      <w:r w:rsidRPr="00F52C48">
        <w:rPr>
          <w:rFonts w:asciiTheme="minorHAnsi" w:hAnsiTheme="minorHAnsi"/>
          <w:color w:val="00B050"/>
        </w:rPr>
        <w:t>xxxx</w:t>
      </w:r>
      <w:proofErr w:type="spellEnd"/>
      <w:r w:rsidRPr="00F52C48">
        <w:rPr>
          <w:rFonts w:asciiTheme="minorHAnsi" w:hAnsiTheme="minorHAnsi"/>
          <w:color w:val="00B050"/>
        </w:rPr>
        <w:t xml:space="preserve">. </w:t>
      </w:r>
      <w:proofErr w:type="gramStart"/>
      <w:r w:rsidRPr="00F52C48">
        <w:rPr>
          <w:rFonts w:asciiTheme="minorHAnsi" w:hAnsiTheme="minorHAnsi"/>
          <w:color w:val="00B050"/>
        </w:rPr>
        <w:t>These figures represent a strengthening of patient safety culture and is</w:t>
      </w:r>
      <w:proofErr w:type="gramEnd"/>
      <w:r w:rsidRPr="00F52C48">
        <w:rPr>
          <w:rFonts w:asciiTheme="minorHAnsi" w:hAnsiTheme="minorHAnsi"/>
          <w:color w:val="00B050"/>
        </w:rPr>
        <w:t xml:space="preserve"> not automatically correlated with an increase in medication errors. Additionally, review of these error reports is only the starting point for a Medication Safety Officer’s involvement. The Medication Safety Officer will lead planning efforts to implement risk reduction strategies based on error reporting. With increased reporting comes increased opportunity to improve the safe use of medications at </w:t>
      </w:r>
      <w:sdt>
        <w:sdtPr>
          <w:rPr>
            <w:rFonts w:asciiTheme="minorHAnsi" w:hAnsiTheme="minorHAnsi"/>
            <w:color w:val="00B050"/>
          </w:rPr>
          <w:id w:val="1647932984"/>
          <w:placeholder>
            <w:docPart w:val="620664EFF02E434194D4DD640483D755"/>
          </w:placeholder>
        </w:sdtPr>
        <w:sdtEndPr/>
        <w:sdtContent>
          <w:r w:rsidRPr="00F52C48">
            <w:rPr>
              <w:rStyle w:val="PlaceholderText"/>
              <w:rFonts w:asciiTheme="minorHAnsi" w:hAnsiTheme="minorHAnsi"/>
              <w:color w:val="00B050"/>
            </w:rPr>
            <w:t>Click or tap here to enter text.</w:t>
          </w:r>
        </w:sdtContent>
      </w:sdt>
    </w:p>
    <w:p w:rsidR="00F52C48" w:rsidRPr="00F52C48" w:rsidRDefault="00F52C48" w:rsidP="00F52C48">
      <w:pPr>
        <w:spacing w:after="0"/>
        <w:ind w:left="360"/>
        <w:jc w:val="both"/>
        <w:rPr>
          <w:rFonts w:asciiTheme="minorHAnsi" w:hAnsiTheme="minorHAnsi"/>
        </w:rPr>
      </w:pPr>
    </w:p>
    <w:p w:rsidR="00F52C48" w:rsidRPr="00F52C48" w:rsidRDefault="00F52C48" w:rsidP="00F52C48">
      <w:pPr>
        <w:spacing w:after="0"/>
        <w:ind w:left="360"/>
        <w:jc w:val="both"/>
        <w:rPr>
          <w:rFonts w:asciiTheme="minorHAnsi" w:hAnsiTheme="minorHAnsi"/>
        </w:rPr>
      </w:pPr>
      <w:r w:rsidRPr="00F52C48">
        <w:rPr>
          <w:rFonts w:asciiTheme="minorHAnsi" w:hAnsiTheme="minorHAnsi"/>
        </w:rPr>
        <w:t>An additional FTE resource dedicated to medication safety would supplement the current process for review, investigation, and facilitation and oversight of action planning and risk reduction implementation that occurs with error reports.</w:t>
      </w:r>
    </w:p>
    <w:p w:rsidR="00F52C48" w:rsidRPr="00F52C48" w:rsidRDefault="00F52C48" w:rsidP="00F52C48">
      <w:pPr>
        <w:spacing w:after="0"/>
        <w:ind w:left="360"/>
        <w:jc w:val="both"/>
        <w:rPr>
          <w:rFonts w:asciiTheme="minorHAnsi" w:hAnsiTheme="minorHAnsi"/>
          <w:i/>
        </w:rPr>
      </w:pPr>
    </w:p>
    <w:p w:rsidR="00F52C48" w:rsidRPr="00F52C48" w:rsidRDefault="00F52C48" w:rsidP="00F52C48">
      <w:pPr>
        <w:spacing w:after="0"/>
        <w:ind w:left="360"/>
        <w:jc w:val="both"/>
        <w:rPr>
          <w:rFonts w:asciiTheme="minorHAnsi" w:hAnsiTheme="minorHAnsi"/>
          <w:b/>
          <w:i/>
        </w:rPr>
      </w:pPr>
      <w:r w:rsidRPr="00F52C48">
        <w:rPr>
          <w:rFonts w:asciiTheme="minorHAnsi" w:hAnsiTheme="minorHAnsi"/>
          <w:b/>
          <w:i/>
        </w:rPr>
        <w:t>Medication Safety Infrastructure</w:t>
      </w:r>
    </w:p>
    <w:p w:rsidR="00F52C48" w:rsidRPr="00F52C48" w:rsidRDefault="00F52C48" w:rsidP="00F52C48">
      <w:pPr>
        <w:spacing w:after="0"/>
        <w:ind w:left="360"/>
        <w:jc w:val="both"/>
        <w:rPr>
          <w:rFonts w:asciiTheme="minorHAnsi" w:hAnsiTheme="minorHAnsi"/>
        </w:rPr>
      </w:pPr>
      <w:r w:rsidRPr="00F52C48">
        <w:rPr>
          <w:rFonts w:asciiTheme="minorHAnsi" w:hAnsiTheme="minorHAnsi"/>
        </w:rPr>
        <w:t xml:space="preserve">The Medication Safety Officer is responsible for chairing the (insert hospital name) Medication Safety Committee (insert name of committee). Since (date) (insert hospital name) Medication Safety Committee’s scope has grown in the following ways: </w:t>
      </w:r>
    </w:p>
    <w:p w:rsidR="00F52C48" w:rsidRPr="00F52C48" w:rsidRDefault="00F52C48" w:rsidP="00F52C48">
      <w:pPr>
        <w:spacing w:after="0"/>
        <w:ind w:left="360"/>
        <w:jc w:val="both"/>
        <w:rPr>
          <w:rFonts w:asciiTheme="minorHAnsi" w:hAnsiTheme="minorHAnsi"/>
        </w:rPr>
      </w:pPr>
    </w:p>
    <w:p w:rsidR="00F52C48" w:rsidRPr="00F52C48" w:rsidRDefault="00F52C48" w:rsidP="00F52C48">
      <w:pPr>
        <w:spacing w:after="0"/>
        <w:ind w:left="360"/>
        <w:jc w:val="both"/>
        <w:rPr>
          <w:rFonts w:asciiTheme="minorHAnsi" w:hAnsiTheme="minorHAnsi"/>
          <w:color w:val="0070C0"/>
        </w:rPr>
      </w:pPr>
      <w:r w:rsidRPr="00F52C48">
        <w:rPr>
          <w:rFonts w:asciiTheme="minorHAnsi" w:hAnsiTheme="minorHAnsi"/>
          <w:color w:val="0070C0"/>
        </w:rPr>
        <w:t>Consider describing the activities (specifically growth &amp; activities) of your Medication Safety Committee.  Refer to the ASHP Medication Safety Section Advisory Group’s guidance on medication safety committees for recommendations on structuring your committees.  Some aspects you may choose to cover here include:</w:t>
      </w:r>
    </w:p>
    <w:p w:rsidR="00F52C48" w:rsidRPr="00F52C48" w:rsidRDefault="00F52C48" w:rsidP="00F52C48">
      <w:pPr>
        <w:pStyle w:val="ListParagraph"/>
        <w:numPr>
          <w:ilvl w:val="0"/>
          <w:numId w:val="6"/>
        </w:numPr>
        <w:spacing w:after="0"/>
        <w:jc w:val="both"/>
        <w:rPr>
          <w:rFonts w:asciiTheme="minorHAnsi" w:hAnsiTheme="minorHAnsi"/>
          <w:color w:val="0070C0"/>
        </w:rPr>
      </w:pPr>
      <w:r w:rsidRPr="00F52C48">
        <w:rPr>
          <w:rFonts w:asciiTheme="minorHAnsi" w:hAnsiTheme="minorHAnsi"/>
          <w:color w:val="0070C0"/>
        </w:rPr>
        <w:t>Growth of membership</w:t>
      </w:r>
    </w:p>
    <w:p w:rsidR="00F52C48" w:rsidRPr="00F52C48" w:rsidRDefault="00F52C48" w:rsidP="00F52C48">
      <w:pPr>
        <w:pStyle w:val="ListParagraph"/>
        <w:numPr>
          <w:ilvl w:val="0"/>
          <w:numId w:val="6"/>
        </w:numPr>
        <w:spacing w:after="0"/>
        <w:jc w:val="both"/>
        <w:rPr>
          <w:rFonts w:asciiTheme="minorHAnsi" w:hAnsiTheme="minorHAnsi"/>
          <w:color w:val="0070C0"/>
        </w:rPr>
      </w:pPr>
      <w:r w:rsidRPr="00F52C48">
        <w:rPr>
          <w:rFonts w:asciiTheme="minorHAnsi" w:hAnsiTheme="minorHAnsi"/>
          <w:color w:val="0070C0"/>
        </w:rPr>
        <w:t>Evolution of topics covered in meetings</w:t>
      </w:r>
    </w:p>
    <w:p w:rsidR="00F52C48" w:rsidRPr="00F52C48" w:rsidRDefault="00F52C48" w:rsidP="00F52C48">
      <w:pPr>
        <w:pStyle w:val="ListParagraph"/>
        <w:numPr>
          <w:ilvl w:val="0"/>
          <w:numId w:val="6"/>
        </w:numPr>
        <w:spacing w:after="0"/>
        <w:jc w:val="both"/>
        <w:rPr>
          <w:rFonts w:asciiTheme="minorHAnsi" w:hAnsiTheme="minorHAnsi"/>
          <w:color w:val="0070C0"/>
        </w:rPr>
      </w:pPr>
      <w:r w:rsidRPr="00F52C48">
        <w:rPr>
          <w:rFonts w:asciiTheme="minorHAnsi" w:hAnsiTheme="minorHAnsi"/>
          <w:color w:val="0070C0"/>
        </w:rPr>
        <w:t>Metrics the Committee is charged with reviewing</w:t>
      </w:r>
    </w:p>
    <w:p w:rsidR="00F52C48" w:rsidRPr="00F52C48" w:rsidRDefault="00F52C48" w:rsidP="00F52C48">
      <w:pPr>
        <w:pStyle w:val="ListParagraph"/>
        <w:numPr>
          <w:ilvl w:val="0"/>
          <w:numId w:val="6"/>
        </w:numPr>
        <w:spacing w:after="0"/>
        <w:jc w:val="both"/>
        <w:rPr>
          <w:rFonts w:asciiTheme="minorHAnsi" w:hAnsiTheme="minorHAnsi"/>
          <w:color w:val="0070C0"/>
        </w:rPr>
      </w:pPr>
      <w:r w:rsidRPr="00F52C48">
        <w:rPr>
          <w:rFonts w:asciiTheme="minorHAnsi" w:hAnsiTheme="minorHAnsi"/>
          <w:color w:val="0070C0"/>
        </w:rPr>
        <w:t>Growth of committee infrastructure (e.g., workgroups, subcommittees)</w:t>
      </w:r>
    </w:p>
    <w:p w:rsidR="00F52C48" w:rsidRPr="00F52C48" w:rsidRDefault="00F52C48" w:rsidP="00F52C48">
      <w:pPr>
        <w:spacing w:after="0"/>
        <w:ind w:left="360"/>
        <w:jc w:val="both"/>
        <w:rPr>
          <w:rFonts w:asciiTheme="minorHAnsi" w:hAnsiTheme="minorHAnsi"/>
          <w:color w:val="FF0000"/>
        </w:rPr>
      </w:pPr>
    </w:p>
    <w:p w:rsidR="00F52C48" w:rsidRPr="00F52C48" w:rsidRDefault="00F52C48" w:rsidP="00F52C48">
      <w:pPr>
        <w:spacing w:after="0"/>
        <w:ind w:left="360"/>
        <w:jc w:val="both"/>
        <w:rPr>
          <w:rFonts w:asciiTheme="minorHAnsi" w:hAnsiTheme="minorHAnsi"/>
          <w:color w:val="00B050"/>
        </w:rPr>
      </w:pPr>
      <w:r w:rsidRPr="00F52C48">
        <w:rPr>
          <w:rFonts w:asciiTheme="minorHAnsi" w:hAnsiTheme="minorHAnsi"/>
          <w:color w:val="00B050"/>
        </w:rPr>
        <w:t>Since 2013, the Medication Safety Committee has added 2 subcommittees, the Pediatric Medication Safety Subcommittee and the Oncology Safety Committee (joining the Heart &amp; Vascular Medication Safety Subcommittee).  The Medication Safety Officer serves as the Co-Chair of the Pediatric Medication Safety Subcommittee and is a member of the planning group for the Oncology Safety Committee.  Each of these subcommittees has contributed toward the overall goal of making medication use safer at (insert hospital name).  Key initiatives completed by these Subcommittees during the previous fiscal year include (list high-level, visible initiatives to highlight the importance these committees bring to the organization).</w:t>
      </w:r>
    </w:p>
    <w:p w:rsidR="00F52C48" w:rsidRPr="00F52C48" w:rsidRDefault="00F52C48" w:rsidP="00F52C48">
      <w:pPr>
        <w:spacing w:after="0"/>
        <w:ind w:left="360"/>
        <w:jc w:val="both"/>
        <w:rPr>
          <w:rFonts w:asciiTheme="minorHAnsi" w:hAnsiTheme="minorHAnsi"/>
        </w:rPr>
      </w:pPr>
    </w:p>
    <w:p w:rsidR="00F52C48" w:rsidRPr="00F52C48" w:rsidRDefault="00F52C48" w:rsidP="00F52C48">
      <w:pPr>
        <w:spacing w:after="0"/>
        <w:ind w:left="360"/>
        <w:jc w:val="both"/>
        <w:rPr>
          <w:rFonts w:asciiTheme="minorHAnsi" w:hAnsiTheme="minorHAnsi"/>
        </w:rPr>
      </w:pPr>
      <w:r w:rsidRPr="00F52C48">
        <w:rPr>
          <w:rFonts w:asciiTheme="minorHAnsi" w:hAnsiTheme="minorHAnsi"/>
        </w:rPr>
        <w:t>An additional Medication Safety Officer FTE would allow for continued development of the Medication Safety Committee through:</w:t>
      </w:r>
    </w:p>
    <w:p w:rsidR="00F52C48" w:rsidRPr="00F52C48" w:rsidRDefault="0063080B" w:rsidP="00F52C48">
      <w:pPr>
        <w:spacing w:after="0"/>
        <w:ind w:left="360"/>
        <w:jc w:val="both"/>
        <w:rPr>
          <w:rFonts w:asciiTheme="minorHAnsi" w:hAnsiTheme="minorHAnsi"/>
        </w:rPr>
      </w:pPr>
      <w:sdt>
        <w:sdtPr>
          <w:rPr>
            <w:rFonts w:asciiTheme="minorHAnsi" w:hAnsiTheme="minorHAnsi"/>
            <w:color w:val="auto"/>
          </w:rPr>
          <w:id w:val="2028205797"/>
          <w:placeholder>
            <w:docPart w:val="620664EFF02E434194D4DD640483D755"/>
          </w:placeholder>
          <w:showingPlcHdr/>
        </w:sdtPr>
        <w:sdtEndPr/>
        <w:sdtContent>
          <w:r w:rsidR="00F52C48" w:rsidRPr="00F52C48">
            <w:rPr>
              <w:rStyle w:val="PlaceholderText"/>
              <w:rFonts w:asciiTheme="minorHAnsi" w:hAnsiTheme="minorHAnsi"/>
            </w:rPr>
            <w:t>Click or tap here to enter text.</w:t>
          </w:r>
        </w:sdtContent>
      </w:sdt>
      <w:r w:rsidR="00F52C48" w:rsidRPr="00F52C48">
        <w:rPr>
          <w:rFonts w:asciiTheme="minorHAnsi" w:hAnsiTheme="minorHAnsi"/>
          <w:color w:val="auto"/>
        </w:rPr>
        <w:t xml:space="preserve"> </w:t>
      </w:r>
    </w:p>
    <w:p w:rsidR="00F52C48" w:rsidRPr="00F52C48" w:rsidRDefault="00F52C48" w:rsidP="00F52C48">
      <w:pPr>
        <w:spacing w:after="0"/>
        <w:ind w:left="360"/>
        <w:jc w:val="both"/>
        <w:rPr>
          <w:rFonts w:asciiTheme="minorHAnsi" w:hAnsiTheme="minorHAnsi"/>
          <w:b/>
          <w:i/>
        </w:rPr>
      </w:pPr>
    </w:p>
    <w:p w:rsidR="00F52C48" w:rsidRPr="00F52C48" w:rsidRDefault="00F52C48" w:rsidP="00F52C48">
      <w:pPr>
        <w:spacing w:after="0"/>
        <w:ind w:left="360"/>
        <w:jc w:val="both"/>
        <w:rPr>
          <w:rFonts w:asciiTheme="minorHAnsi" w:hAnsiTheme="minorHAnsi"/>
          <w:b/>
          <w:i/>
        </w:rPr>
      </w:pPr>
      <w:r w:rsidRPr="00F52C48">
        <w:rPr>
          <w:rFonts w:asciiTheme="minorHAnsi" w:hAnsiTheme="minorHAnsi"/>
          <w:b/>
          <w:i/>
        </w:rPr>
        <w:t>Patient Safety Culture</w:t>
      </w:r>
    </w:p>
    <w:p w:rsidR="00F52C48" w:rsidRPr="00F52C48" w:rsidRDefault="00F52C48" w:rsidP="00F52C48">
      <w:pPr>
        <w:ind w:left="360"/>
        <w:jc w:val="both"/>
        <w:rPr>
          <w:rFonts w:asciiTheme="minorHAnsi" w:hAnsiTheme="minorHAnsi"/>
          <w:color w:val="0070C0"/>
        </w:rPr>
      </w:pPr>
      <w:r w:rsidRPr="00F52C48">
        <w:rPr>
          <w:rFonts w:asciiTheme="minorHAnsi" w:hAnsiTheme="minorHAnsi"/>
          <w:color w:val="auto"/>
        </w:rPr>
        <w:t xml:space="preserve">The Medication Safety Officer is a leader in promoting a culture of safety at </w:t>
      </w:r>
      <w:sdt>
        <w:sdtPr>
          <w:rPr>
            <w:rFonts w:asciiTheme="minorHAnsi" w:hAnsiTheme="minorHAnsi"/>
            <w:color w:val="auto"/>
          </w:rPr>
          <w:id w:val="548039302"/>
          <w:placeholder>
            <w:docPart w:val="620664EFF02E434194D4DD640483D755"/>
          </w:placeholder>
        </w:sdtPr>
        <w:sdtEndPr/>
        <w:sdtContent>
          <w:r w:rsidRPr="00F52C48">
            <w:rPr>
              <w:rStyle w:val="PlaceholderText"/>
              <w:rFonts w:asciiTheme="minorHAnsi" w:hAnsiTheme="minorHAnsi"/>
              <w:color w:val="auto"/>
            </w:rPr>
            <w:t>Click or tap here to enter text.</w:t>
          </w:r>
        </w:sdtContent>
      </w:sdt>
      <w:r w:rsidRPr="00F52C48">
        <w:rPr>
          <w:rFonts w:asciiTheme="minorHAnsi" w:hAnsiTheme="minorHAnsi"/>
          <w:color w:val="0070C0"/>
        </w:rPr>
        <w:t xml:space="preserve"> </w:t>
      </w:r>
    </w:p>
    <w:p w:rsidR="00F52C48" w:rsidRPr="00F52C48" w:rsidRDefault="00F52C48" w:rsidP="00F52C48">
      <w:pPr>
        <w:ind w:left="360"/>
        <w:jc w:val="both"/>
        <w:rPr>
          <w:rFonts w:asciiTheme="minorHAnsi" w:hAnsiTheme="minorHAnsi"/>
          <w:color w:val="00B050"/>
        </w:rPr>
      </w:pPr>
      <w:r w:rsidRPr="00F52C48">
        <w:rPr>
          <w:rFonts w:asciiTheme="minorHAnsi" w:hAnsiTheme="minorHAnsi"/>
          <w:color w:val="00B050"/>
        </w:rPr>
        <w:t xml:space="preserve">As evidenced by the trend in AHRQ Patient Safety Culture Survey results, since 2011 the Department of Pharmacy’s percent of positive responses has grown (Table 2).  </w:t>
      </w:r>
    </w:p>
    <w:p w:rsidR="00F52C48" w:rsidRPr="00F52C48" w:rsidRDefault="00F52C48" w:rsidP="00F52C48">
      <w:pPr>
        <w:ind w:left="360"/>
        <w:jc w:val="both"/>
        <w:rPr>
          <w:rFonts w:asciiTheme="minorHAnsi" w:hAnsiTheme="minorHAnsi"/>
          <w:color w:val="0070C0"/>
        </w:rPr>
      </w:pPr>
      <w:r w:rsidRPr="00F52C48">
        <w:rPr>
          <w:rFonts w:asciiTheme="minorHAnsi" w:hAnsiTheme="minorHAnsi"/>
          <w:color w:val="0070C0"/>
        </w:rPr>
        <w:t xml:space="preserve">Insert your organization’s safety culture survey results that may be applicable to medication safety.  For example if you use AHRQs Hospital Survey on Patient Safety Culture, these results may be broken down by department as shown in Table 2.  If your organization uses a different culture of safety </w:t>
      </w:r>
      <w:proofErr w:type="gramStart"/>
      <w:r w:rsidRPr="00F52C48">
        <w:rPr>
          <w:rFonts w:asciiTheme="minorHAnsi" w:hAnsiTheme="minorHAnsi"/>
          <w:color w:val="0070C0"/>
        </w:rPr>
        <w:t>survey consider</w:t>
      </w:r>
      <w:proofErr w:type="gramEnd"/>
      <w:r w:rsidRPr="00F52C48">
        <w:rPr>
          <w:rFonts w:asciiTheme="minorHAnsi" w:hAnsiTheme="minorHAnsi"/>
          <w:color w:val="0070C0"/>
        </w:rPr>
        <w:t xml:space="preserve"> using these results.  You may also consider utilizing questions from ISMP's Self-Assessment questions that focus on culture of safety.</w:t>
      </w:r>
    </w:p>
    <w:tbl>
      <w:tblPr>
        <w:tblStyle w:val="5"/>
        <w:tblW w:w="9195" w:type="dxa"/>
        <w:jc w:val="center"/>
        <w:tblBorders>
          <w:top w:val="nil"/>
          <w:left w:val="nil"/>
          <w:bottom w:val="nil"/>
          <w:right w:val="nil"/>
          <w:insideH w:val="nil"/>
          <w:insideV w:val="nil"/>
        </w:tblBorders>
        <w:tblLayout w:type="fixed"/>
        <w:tblLook w:val="0400" w:firstRow="0" w:lastRow="0" w:firstColumn="0" w:lastColumn="0" w:noHBand="0" w:noVBand="1"/>
      </w:tblPr>
      <w:tblGrid>
        <w:gridCol w:w="6885"/>
        <w:gridCol w:w="810"/>
        <w:gridCol w:w="780"/>
        <w:gridCol w:w="720"/>
      </w:tblGrid>
      <w:tr w:rsidR="00F52C48" w:rsidRPr="00F52C48" w:rsidTr="000D0962">
        <w:trPr>
          <w:jc w:val="center"/>
        </w:trPr>
        <w:tc>
          <w:tcPr>
            <w:tcW w:w="6885" w:type="dxa"/>
            <w:tcBorders>
              <w:bottom w:val="single" w:sz="4" w:space="0" w:color="000000"/>
            </w:tcBorders>
          </w:tcPr>
          <w:p w:rsidR="00F52C48" w:rsidRPr="00F52C48" w:rsidRDefault="00F52C48" w:rsidP="000D0962">
            <w:pPr>
              <w:rPr>
                <w:rFonts w:asciiTheme="minorHAnsi" w:hAnsiTheme="minorHAnsi"/>
                <w:color w:val="00B050"/>
                <w:vertAlign w:val="superscript"/>
              </w:rPr>
            </w:pPr>
            <w:r w:rsidRPr="00F52C48">
              <w:rPr>
                <w:rFonts w:asciiTheme="minorHAnsi" w:hAnsiTheme="minorHAnsi"/>
                <w:color w:val="00B050"/>
              </w:rPr>
              <w:t>Table 2. AHRQ Patient Safety Culture Survey Results</w:t>
            </w:r>
            <w:r w:rsidRPr="00F52C48">
              <w:rPr>
                <w:rFonts w:asciiTheme="minorHAnsi" w:hAnsiTheme="minorHAnsi"/>
                <w:color w:val="00B050"/>
                <w:vertAlign w:val="superscript"/>
              </w:rPr>
              <w:t>1</w:t>
            </w:r>
          </w:p>
        </w:tc>
        <w:tc>
          <w:tcPr>
            <w:tcW w:w="810" w:type="dxa"/>
            <w:tcBorders>
              <w:bottom w:val="single" w:sz="4" w:space="0" w:color="000000"/>
            </w:tcBorders>
            <w:vAlign w:val="center"/>
          </w:tcPr>
          <w:p w:rsidR="00F52C48" w:rsidRPr="00F52C48" w:rsidRDefault="00F52C48" w:rsidP="000D0962">
            <w:pPr>
              <w:jc w:val="center"/>
              <w:rPr>
                <w:rFonts w:asciiTheme="minorHAnsi" w:hAnsiTheme="minorHAnsi"/>
                <w:color w:val="00B050"/>
              </w:rPr>
            </w:pPr>
          </w:p>
        </w:tc>
        <w:tc>
          <w:tcPr>
            <w:tcW w:w="780" w:type="dxa"/>
            <w:tcBorders>
              <w:bottom w:val="single" w:sz="4" w:space="0" w:color="000000"/>
            </w:tcBorders>
            <w:vAlign w:val="center"/>
          </w:tcPr>
          <w:p w:rsidR="00F52C48" w:rsidRPr="00F52C48" w:rsidRDefault="00F52C48" w:rsidP="000D0962">
            <w:pPr>
              <w:jc w:val="center"/>
              <w:rPr>
                <w:rFonts w:asciiTheme="minorHAnsi" w:hAnsiTheme="minorHAnsi"/>
                <w:color w:val="00B050"/>
              </w:rPr>
            </w:pPr>
          </w:p>
        </w:tc>
        <w:tc>
          <w:tcPr>
            <w:tcW w:w="720" w:type="dxa"/>
            <w:tcBorders>
              <w:bottom w:val="single" w:sz="4" w:space="0" w:color="000000"/>
            </w:tcBorders>
            <w:vAlign w:val="center"/>
          </w:tcPr>
          <w:p w:rsidR="00F52C48" w:rsidRPr="00F52C48" w:rsidRDefault="00F52C48" w:rsidP="000D0962">
            <w:pPr>
              <w:jc w:val="center"/>
              <w:rPr>
                <w:rFonts w:asciiTheme="minorHAnsi" w:hAnsiTheme="minorHAnsi"/>
                <w:color w:val="00B050"/>
              </w:rPr>
            </w:pPr>
          </w:p>
        </w:tc>
      </w:tr>
      <w:tr w:rsidR="00F52C48" w:rsidRPr="00F52C48" w:rsidTr="000D0962">
        <w:trPr>
          <w:jc w:val="center"/>
        </w:trPr>
        <w:tc>
          <w:tcPr>
            <w:tcW w:w="6885" w:type="dxa"/>
            <w:tcBorders>
              <w:bottom w:val="single" w:sz="4" w:space="0" w:color="000000"/>
            </w:tcBorders>
          </w:tcPr>
          <w:p w:rsidR="00F52C48" w:rsidRPr="00F52C48" w:rsidRDefault="00F52C48" w:rsidP="000D0962">
            <w:pPr>
              <w:rPr>
                <w:rFonts w:asciiTheme="minorHAnsi" w:hAnsiTheme="minorHAnsi"/>
                <w:color w:val="00B050"/>
              </w:rPr>
            </w:pPr>
            <w:r w:rsidRPr="00F52C48">
              <w:rPr>
                <w:rFonts w:asciiTheme="minorHAnsi" w:hAnsiTheme="minorHAnsi"/>
                <w:color w:val="00B050"/>
              </w:rPr>
              <w:t>Dimension of Culture Survey</w:t>
            </w:r>
          </w:p>
        </w:tc>
        <w:tc>
          <w:tcPr>
            <w:tcW w:w="810" w:type="dxa"/>
            <w:tcBorders>
              <w:bottom w:val="single" w:sz="4" w:space="0" w:color="000000"/>
            </w:tcBorders>
            <w:vAlign w:val="center"/>
          </w:tcPr>
          <w:p w:rsidR="00F52C48" w:rsidRPr="00F52C48" w:rsidRDefault="00F52C48" w:rsidP="000D0962">
            <w:pPr>
              <w:jc w:val="center"/>
              <w:rPr>
                <w:rFonts w:asciiTheme="minorHAnsi" w:hAnsiTheme="minorHAnsi"/>
                <w:color w:val="00B050"/>
              </w:rPr>
            </w:pPr>
            <w:r w:rsidRPr="00F52C48">
              <w:rPr>
                <w:rFonts w:asciiTheme="minorHAnsi" w:hAnsiTheme="minorHAnsi"/>
                <w:color w:val="00B050"/>
              </w:rPr>
              <w:t>2011</w:t>
            </w:r>
          </w:p>
        </w:tc>
        <w:tc>
          <w:tcPr>
            <w:tcW w:w="780" w:type="dxa"/>
            <w:tcBorders>
              <w:bottom w:val="single" w:sz="4" w:space="0" w:color="000000"/>
            </w:tcBorders>
            <w:vAlign w:val="center"/>
          </w:tcPr>
          <w:p w:rsidR="00F52C48" w:rsidRPr="00F52C48" w:rsidRDefault="00F52C48" w:rsidP="000D0962">
            <w:pPr>
              <w:jc w:val="center"/>
              <w:rPr>
                <w:rFonts w:asciiTheme="minorHAnsi" w:hAnsiTheme="minorHAnsi"/>
                <w:color w:val="00B050"/>
              </w:rPr>
            </w:pPr>
            <w:r w:rsidRPr="00F52C48">
              <w:rPr>
                <w:rFonts w:asciiTheme="minorHAnsi" w:hAnsiTheme="minorHAnsi"/>
                <w:color w:val="00B050"/>
              </w:rPr>
              <w:t>2013</w:t>
            </w:r>
          </w:p>
        </w:tc>
        <w:tc>
          <w:tcPr>
            <w:tcW w:w="720" w:type="dxa"/>
            <w:tcBorders>
              <w:bottom w:val="single" w:sz="4" w:space="0" w:color="000000"/>
            </w:tcBorders>
            <w:vAlign w:val="center"/>
          </w:tcPr>
          <w:p w:rsidR="00F52C48" w:rsidRPr="00F52C48" w:rsidRDefault="00F52C48" w:rsidP="000D0962">
            <w:pPr>
              <w:jc w:val="center"/>
              <w:rPr>
                <w:rFonts w:asciiTheme="minorHAnsi" w:hAnsiTheme="minorHAnsi"/>
                <w:color w:val="00B050"/>
              </w:rPr>
            </w:pPr>
            <w:r w:rsidRPr="00F52C48">
              <w:rPr>
                <w:rFonts w:asciiTheme="minorHAnsi" w:hAnsiTheme="minorHAnsi"/>
                <w:color w:val="00B050"/>
              </w:rPr>
              <w:t>2015</w:t>
            </w:r>
          </w:p>
        </w:tc>
      </w:tr>
      <w:tr w:rsidR="00F52C48" w:rsidRPr="00F52C48" w:rsidTr="000D0962">
        <w:trPr>
          <w:jc w:val="center"/>
        </w:trPr>
        <w:tc>
          <w:tcPr>
            <w:tcW w:w="6885" w:type="dxa"/>
            <w:tcBorders>
              <w:top w:val="single" w:sz="4" w:space="0" w:color="000000"/>
            </w:tcBorders>
          </w:tcPr>
          <w:p w:rsidR="00F52C48" w:rsidRPr="00F52C48" w:rsidRDefault="00F52C48" w:rsidP="000D0962">
            <w:pPr>
              <w:spacing w:after="120"/>
              <w:rPr>
                <w:rFonts w:asciiTheme="minorHAnsi" w:hAnsiTheme="minorHAnsi"/>
                <w:color w:val="00B050"/>
              </w:rPr>
            </w:pPr>
            <w:r w:rsidRPr="00F52C48">
              <w:rPr>
                <w:rFonts w:asciiTheme="minorHAnsi" w:hAnsiTheme="minorHAnsi"/>
                <w:color w:val="00B050"/>
              </w:rPr>
              <w:t>Overall perceptions of safety</w:t>
            </w:r>
          </w:p>
        </w:tc>
        <w:tc>
          <w:tcPr>
            <w:tcW w:w="810" w:type="dxa"/>
            <w:tcBorders>
              <w:top w:val="single" w:sz="4" w:space="0" w:color="000000"/>
            </w:tcBorders>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54%</w:t>
            </w:r>
          </w:p>
        </w:tc>
        <w:tc>
          <w:tcPr>
            <w:tcW w:w="780" w:type="dxa"/>
            <w:tcBorders>
              <w:top w:val="single" w:sz="4" w:space="0" w:color="000000"/>
            </w:tcBorders>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62%</w:t>
            </w:r>
          </w:p>
        </w:tc>
        <w:tc>
          <w:tcPr>
            <w:tcW w:w="720" w:type="dxa"/>
            <w:tcBorders>
              <w:top w:val="single" w:sz="4" w:space="0" w:color="000000"/>
            </w:tcBorders>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78%</w:t>
            </w:r>
          </w:p>
        </w:tc>
      </w:tr>
      <w:tr w:rsidR="00F52C48" w:rsidRPr="00F52C48" w:rsidTr="000D0962">
        <w:trPr>
          <w:jc w:val="center"/>
        </w:trPr>
        <w:tc>
          <w:tcPr>
            <w:tcW w:w="6885" w:type="dxa"/>
          </w:tcPr>
          <w:p w:rsidR="00F52C48" w:rsidRPr="00F52C48" w:rsidRDefault="00F52C48" w:rsidP="000D0962">
            <w:pPr>
              <w:spacing w:after="120"/>
              <w:rPr>
                <w:rFonts w:asciiTheme="minorHAnsi" w:hAnsiTheme="minorHAnsi"/>
                <w:color w:val="00B050"/>
              </w:rPr>
            </w:pPr>
            <w:r w:rsidRPr="00F52C48">
              <w:rPr>
                <w:rFonts w:asciiTheme="minorHAnsi" w:hAnsiTheme="minorHAnsi"/>
                <w:color w:val="00B050"/>
              </w:rPr>
              <w:t>Frequency of events reported</w:t>
            </w:r>
          </w:p>
        </w:tc>
        <w:tc>
          <w:tcPr>
            <w:tcW w:w="81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42%</w:t>
            </w:r>
          </w:p>
        </w:tc>
        <w:tc>
          <w:tcPr>
            <w:tcW w:w="78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42%</w:t>
            </w:r>
          </w:p>
        </w:tc>
        <w:tc>
          <w:tcPr>
            <w:tcW w:w="72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51%</w:t>
            </w:r>
          </w:p>
        </w:tc>
      </w:tr>
      <w:tr w:rsidR="00F52C48" w:rsidRPr="00F52C48" w:rsidTr="000D0962">
        <w:trPr>
          <w:jc w:val="center"/>
        </w:trPr>
        <w:tc>
          <w:tcPr>
            <w:tcW w:w="6885" w:type="dxa"/>
          </w:tcPr>
          <w:p w:rsidR="00F52C48" w:rsidRPr="00F52C48" w:rsidRDefault="00F52C48" w:rsidP="000D0962">
            <w:pPr>
              <w:spacing w:after="120"/>
              <w:rPr>
                <w:rFonts w:asciiTheme="minorHAnsi" w:hAnsiTheme="minorHAnsi"/>
                <w:color w:val="00B050"/>
              </w:rPr>
            </w:pPr>
            <w:r w:rsidRPr="00F52C48">
              <w:rPr>
                <w:rFonts w:asciiTheme="minorHAnsi" w:hAnsiTheme="minorHAnsi"/>
                <w:color w:val="00B050"/>
              </w:rPr>
              <w:t>Supervisor/manager expectations &amp; actions promoting safety</w:t>
            </w:r>
          </w:p>
        </w:tc>
        <w:tc>
          <w:tcPr>
            <w:tcW w:w="81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76%</w:t>
            </w:r>
          </w:p>
        </w:tc>
        <w:tc>
          <w:tcPr>
            <w:tcW w:w="78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86%</w:t>
            </w:r>
          </w:p>
        </w:tc>
        <w:tc>
          <w:tcPr>
            <w:tcW w:w="72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88%</w:t>
            </w:r>
          </w:p>
        </w:tc>
      </w:tr>
      <w:tr w:rsidR="00F52C48" w:rsidRPr="00F52C48" w:rsidTr="000D0962">
        <w:trPr>
          <w:jc w:val="center"/>
        </w:trPr>
        <w:tc>
          <w:tcPr>
            <w:tcW w:w="6885" w:type="dxa"/>
          </w:tcPr>
          <w:p w:rsidR="00F52C48" w:rsidRPr="00F52C48" w:rsidRDefault="00F52C48" w:rsidP="000D0962">
            <w:pPr>
              <w:spacing w:after="120"/>
              <w:rPr>
                <w:rFonts w:asciiTheme="minorHAnsi" w:hAnsiTheme="minorHAnsi"/>
                <w:color w:val="00B050"/>
              </w:rPr>
            </w:pPr>
            <w:r w:rsidRPr="00F52C48">
              <w:rPr>
                <w:rFonts w:asciiTheme="minorHAnsi" w:hAnsiTheme="minorHAnsi"/>
                <w:color w:val="00B050"/>
              </w:rPr>
              <w:t>Organizational learning – Continuous improvement</w:t>
            </w:r>
          </w:p>
        </w:tc>
        <w:tc>
          <w:tcPr>
            <w:tcW w:w="81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74%</w:t>
            </w:r>
          </w:p>
        </w:tc>
        <w:tc>
          <w:tcPr>
            <w:tcW w:w="78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77%</w:t>
            </w:r>
          </w:p>
        </w:tc>
        <w:tc>
          <w:tcPr>
            <w:tcW w:w="72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79%</w:t>
            </w:r>
          </w:p>
        </w:tc>
      </w:tr>
      <w:tr w:rsidR="00F52C48" w:rsidRPr="00F52C48" w:rsidTr="000D0962">
        <w:trPr>
          <w:jc w:val="center"/>
        </w:trPr>
        <w:tc>
          <w:tcPr>
            <w:tcW w:w="6885" w:type="dxa"/>
          </w:tcPr>
          <w:p w:rsidR="00F52C48" w:rsidRPr="00F52C48" w:rsidRDefault="00F52C48" w:rsidP="000D0962">
            <w:pPr>
              <w:spacing w:after="120"/>
              <w:rPr>
                <w:rFonts w:asciiTheme="minorHAnsi" w:hAnsiTheme="minorHAnsi"/>
                <w:color w:val="00B050"/>
              </w:rPr>
            </w:pPr>
            <w:r w:rsidRPr="00F52C48">
              <w:rPr>
                <w:rFonts w:asciiTheme="minorHAnsi" w:hAnsiTheme="minorHAnsi"/>
                <w:color w:val="00B050"/>
              </w:rPr>
              <w:t>Teamwork within units</w:t>
            </w:r>
          </w:p>
        </w:tc>
        <w:tc>
          <w:tcPr>
            <w:tcW w:w="81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72%</w:t>
            </w:r>
          </w:p>
        </w:tc>
        <w:tc>
          <w:tcPr>
            <w:tcW w:w="78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81%</w:t>
            </w:r>
          </w:p>
        </w:tc>
        <w:tc>
          <w:tcPr>
            <w:tcW w:w="72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87%</w:t>
            </w:r>
          </w:p>
        </w:tc>
      </w:tr>
      <w:tr w:rsidR="00F52C48" w:rsidRPr="00F52C48" w:rsidTr="000D0962">
        <w:trPr>
          <w:jc w:val="center"/>
        </w:trPr>
        <w:tc>
          <w:tcPr>
            <w:tcW w:w="6885" w:type="dxa"/>
          </w:tcPr>
          <w:p w:rsidR="00F52C48" w:rsidRPr="00F52C48" w:rsidRDefault="00F52C48" w:rsidP="000D0962">
            <w:pPr>
              <w:spacing w:after="120"/>
              <w:rPr>
                <w:rFonts w:asciiTheme="minorHAnsi" w:hAnsiTheme="minorHAnsi"/>
                <w:color w:val="00B050"/>
              </w:rPr>
            </w:pPr>
            <w:r w:rsidRPr="00F52C48">
              <w:rPr>
                <w:rFonts w:asciiTheme="minorHAnsi" w:hAnsiTheme="minorHAnsi"/>
                <w:color w:val="00B050"/>
              </w:rPr>
              <w:t>Communication openness</w:t>
            </w:r>
          </w:p>
        </w:tc>
        <w:tc>
          <w:tcPr>
            <w:tcW w:w="81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63%</w:t>
            </w:r>
          </w:p>
        </w:tc>
        <w:tc>
          <w:tcPr>
            <w:tcW w:w="78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63%</w:t>
            </w:r>
          </w:p>
        </w:tc>
        <w:tc>
          <w:tcPr>
            <w:tcW w:w="72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75%</w:t>
            </w:r>
          </w:p>
        </w:tc>
      </w:tr>
      <w:tr w:rsidR="00F52C48" w:rsidRPr="00F52C48" w:rsidTr="000D0962">
        <w:trPr>
          <w:jc w:val="center"/>
        </w:trPr>
        <w:tc>
          <w:tcPr>
            <w:tcW w:w="6885" w:type="dxa"/>
          </w:tcPr>
          <w:p w:rsidR="00F52C48" w:rsidRPr="00F52C48" w:rsidRDefault="00F52C48" w:rsidP="000D0962">
            <w:pPr>
              <w:spacing w:after="120"/>
              <w:rPr>
                <w:rFonts w:asciiTheme="minorHAnsi" w:hAnsiTheme="minorHAnsi"/>
                <w:color w:val="00B050"/>
              </w:rPr>
            </w:pPr>
            <w:r w:rsidRPr="00F52C48">
              <w:rPr>
                <w:rFonts w:asciiTheme="minorHAnsi" w:hAnsiTheme="minorHAnsi"/>
                <w:color w:val="00B050"/>
              </w:rPr>
              <w:t>Feedback &amp; communication about error</w:t>
            </w:r>
          </w:p>
        </w:tc>
        <w:tc>
          <w:tcPr>
            <w:tcW w:w="81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55%</w:t>
            </w:r>
          </w:p>
        </w:tc>
        <w:tc>
          <w:tcPr>
            <w:tcW w:w="78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53%</w:t>
            </w:r>
          </w:p>
        </w:tc>
        <w:tc>
          <w:tcPr>
            <w:tcW w:w="72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70%</w:t>
            </w:r>
          </w:p>
        </w:tc>
      </w:tr>
      <w:tr w:rsidR="00F52C48" w:rsidRPr="00F52C48" w:rsidTr="000D0962">
        <w:trPr>
          <w:jc w:val="center"/>
        </w:trPr>
        <w:tc>
          <w:tcPr>
            <w:tcW w:w="6885" w:type="dxa"/>
          </w:tcPr>
          <w:p w:rsidR="00F52C48" w:rsidRPr="00F52C48" w:rsidRDefault="00F52C48" w:rsidP="000D0962">
            <w:pPr>
              <w:spacing w:after="120"/>
              <w:rPr>
                <w:rFonts w:asciiTheme="minorHAnsi" w:hAnsiTheme="minorHAnsi"/>
                <w:color w:val="00B050"/>
              </w:rPr>
            </w:pPr>
            <w:proofErr w:type="spellStart"/>
            <w:r w:rsidRPr="00F52C48">
              <w:rPr>
                <w:rFonts w:asciiTheme="minorHAnsi" w:hAnsiTheme="minorHAnsi"/>
                <w:color w:val="00B050"/>
              </w:rPr>
              <w:t>Nonpunitive</w:t>
            </w:r>
            <w:proofErr w:type="spellEnd"/>
            <w:r w:rsidRPr="00F52C48">
              <w:rPr>
                <w:rFonts w:asciiTheme="minorHAnsi" w:hAnsiTheme="minorHAnsi"/>
                <w:color w:val="00B050"/>
              </w:rPr>
              <w:t xml:space="preserve"> response to error</w:t>
            </w:r>
          </w:p>
        </w:tc>
        <w:tc>
          <w:tcPr>
            <w:tcW w:w="81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52%</w:t>
            </w:r>
          </w:p>
        </w:tc>
        <w:tc>
          <w:tcPr>
            <w:tcW w:w="78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62%</w:t>
            </w:r>
          </w:p>
        </w:tc>
        <w:tc>
          <w:tcPr>
            <w:tcW w:w="72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68%</w:t>
            </w:r>
          </w:p>
        </w:tc>
      </w:tr>
      <w:tr w:rsidR="00F52C48" w:rsidRPr="00F52C48" w:rsidTr="000D0962">
        <w:trPr>
          <w:jc w:val="center"/>
        </w:trPr>
        <w:tc>
          <w:tcPr>
            <w:tcW w:w="6885" w:type="dxa"/>
          </w:tcPr>
          <w:p w:rsidR="00F52C48" w:rsidRPr="00F52C48" w:rsidRDefault="00F52C48" w:rsidP="000D0962">
            <w:pPr>
              <w:spacing w:after="120"/>
              <w:rPr>
                <w:rFonts w:asciiTheme="minorHAnsi" w:hAnsiTheme="minorHAnsi"/>
                <w:color w:val="00B050"/>
              </w:rPr>
            </w:pPr>
            <w:r w:rsidRPr="00F52C48">
              <w:rPr>
                <w:rFonts w:asciiTheme="minorHAnsi" w:hAnsiTheme="minorHAnsi"/>
                <w:color w:val="00B050"/>
              </w:rPr>
              <w:t>Staffing</w:t>
            </w:r>
          </w:p>
        </w:tc>
        <w:tc>
          <w:tcPr>
            <w:tcW w:w="81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43%</w:t>
            </w:r>
          </w:p>
        </w:tc>
        <w:tc>
          <w:tcPr>
            <w:tcW w:w="78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56%</w:t>
            </w:r>
          </w:p>
        </w:tc>
        <w:tc>
          <w:tcPr>
            <w:tcW w:w="72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68%</w:t>
            </w:r>
          </w:p>
        </w:tc>
      </w:tr>
      <w:tr w:rsidR="00F52C48" w:rsidRPr="00F52C48" w:rsidTr="000D0962">
        <w:trPr>
          <w:jc w:val="center"/>
        </w:trPr>
        <w:tc>
          <w:tcPr>
            <w:tcW w:w="6885" w:type="dxa"/>
          </w:tcPr>
          <w:p w:rsidR="00F52C48" w:rsidRPr="00F52C48" w:rsidRDefault="00F52C48" w:rsidP="000D0962">
            <w:pPr>
              <w:spacing w:after="120"/>
              <w:rPr>
                <w:rFonts w:asciiTheme="minorHAnsi" w:hAnsiTheme="minorHAnsi"/>
                <w:color w:val="00B050"/>
              </w:rPr>
            </w:pPr>
            <w:r w:rsidRPr="00F52C48">
              <w:rPr>
                <w:rFonts w:asciiTheme="minorHAnsi" w:hAnsiTheme="minorHAnsi"/>
                <w:color w:val="00B050"/>
              </w:rPr>
              <w:t>Hospital management support for patient safety</w:t>
            </w:r>
          </w:p>
        </w:tc>
        <w:tc>
          <w:tcPr>
            <w:tcW w:w="81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65%</w:t>
            </w:r>
          </w:p>
        </w:tc>
        <w:tc>
          <w:tcPr>
            <w:tcW w:w="78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70%</w:t>
            </w:r>
          </w:p>
        </w:tc>
        <w:tc>
          <w:tcPr>
            <w:tcW w:w="72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75%</w:t>
            </w:r>
          </w:p>
        </w:tc>
      </w:tr>
      <w:tr w:rsidR="00F52C48" w:rsidRPr="00F52C48" w:rsidTr="000D0962">
        <w:trPr>
          <w:jc w:val="center"/>
        </w:trPr>
        <w:tc>
          <w:tcPr>
            <w:tcW w:w="6885" w:type="dxa"/>
          </w:tcPr>
          <w:p w:rsidR="00F52C48" w:rsidRPr="00F52C48" w:rsidRDefault="00F52C48" w:rsidP="000D0962">
            <w:pPr>
              <w:spacing w:after="120"/>
              <w:rPr>
                <w:rFonts w:asciiTheme="minorHAnsi" w:hAnsiTheme="minorHAnsi"/>
                <w:color w:val="00B050"/>
              </w:rPr>
            </w:pPr>
            <w:r w:rsidRPr="00F52C48">
              <w:rPr>
                <w:rFonts w:asciiTheme="minorHAnsi" w:hAnsiTheme="minorHAnsi"/>
                <w:color w:val="00B050"/>
              </w:rPr>
              <w:t>Teamwork across hospital units</w:t>
            </w:r>
          </w:p>
        </w:tc>
        <w:tc>
          <w:tcPr>
            <w:tcW w:w="81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41%</w:t>
            </w:r>
          </w:p>
        </w:tc>
        <w:tc>
          <w:tcPr>
            <w:tcW w:w="78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52%</w:t>
            </w:r>
          </w:p>
        </w:tc>
        <w:tc>
          <w:tcPr>
            <w:tcW w:w="72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58%</w:t>
            </w:r>
          </w:p>
        </w:tc>
      </w:tr>
      <w:tr w:rsidR="00F52C48" w:rsidRPr="00F52C48" w:rsidTr="000D0962">
        <w:trPr>
          <w:jc w:val="center"/>
        </w:trPr>
        <w:tc>
          <w:tcPr>
            <w:tcW w:w="6885" w:type="dxa"/>
          </w:tcPr>
          <w:p w:rsidR="00F52C48" w:rsidRPr="00F52C48" w:rsidRDefault="00F52C48" w:rsidP="000D0962">
            <w:pPr>
              <w:spacing w:after="120"/>
              <w:rPr>
                <w:rFonts w:asciiTheme="minorHAnsi" w:hAnsiTheme="minorHAnsi"/>
                <w:color w:val="00B050"/>
              </w:rPr>
            </w:pPr>
            <w:r w:rsidRPr="00F52C48">
              <w:rPr>
                <w:rFonts w:asciiTheme="minorHAnsi" w:hAnsiTheme="minorHAnsi"/>
                <w:color w:val="00B050"/>
              </w:rPr>
              <w:t>Hospital handoffs &amp; transitions</w:t>
            </w:r>
          </w:p>
        </w:tc>
        <w:tc>
          <w:tcPr>
            <w:tcW w:w="81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16%</w:t>
            </w:r>
          </w:p>
        </w:tc>
        <w:tc>
          <w:tcPr>
            <w:tcW w:w="78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25%</w:t>
            </w:r>
          </w:p>
        </w:tc>
        <w:tc>
          <w:tcPr>
            <w:tcW w:w="720" w:type="dxa"/>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29%</w:t>
            </w:r>
          </w:p>
        </w:tc>
      </w:tr>
      <w:tr w:rsidR="00F52C48" w:rsidRPr="00F52C48" w:rsidTr="000D0962">
        <w:trPr>
          <w:jc w:val="center"/>
        </w:trPr>
        <w:tc>
          <w:tcPr>
            <w:tcW w:w="6885" w:type="dxa"/>
            <w:tcBorders>
              <w:bottom w:val="single" w:sz="4" w:space="0" w:color="000000"/>
            </w:tcBorders>
          </w:tcPr>
          <w:p w:rsidR="00F52C48" w:rsidRPr="00F52C48" w:rsidRDefault="00F52C48" w:rsidP="000D0962">
            <w:pPr>
              <w:spacing w:after="120"/>
              <w:rPr>
                <w:rFonts w:asciiTheme="minorHAnsi" w:hAnsiTheme="minorHAnsi"/>
                <w:color w:val="00B050"/>
              </w:rPr>
            </w:pPr>
            <w:r w:rsidRPr="00F52C48">
              <w:rPr>
                <w:rFonts w:asciiTheme="minorHAnsi" w:hAnsiTheme="minorHAnsi"/>
                <w:color w:val="00B050"/>
              </w:rPr>
              <w:t>Work area/unit overall grade on patient safety of Excellent or Very Good</w:t>
            </w:r>
          </w:p>
        </w:tc>
        <w:tc>
          <w:tcPr>
            <w:tcW w:w="810" w:type="dxa"/>
            <w:tcBorders>
              <w:bottom w:val="single" w:sz="4" w:space="0" w:color="000000"/>
            </w:tcBorders>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52%</w:t>
            </w:r>
          </w:p>
        </w:tc>
        <w:tc>
          <w:tcPr>
            <w:tcW w:w="780" w:type="dxa"/>
            <w:tcBorders>
              <w:bottom w:val="single" w:sz="4" w:space="0" w:color="000000"/>
            </w:tcBorders>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70%</w:t>
            </w:r>
          </w:p>
        </w:tc>
        <w:tc>
          <w:tcPr>
            <w:tcW w:w="720" w:type="dxa"/>
            <w:tcBorders>
              <w:bottom w:val="single" w:sz="4" w:space="0" w:color="000000"/>
            </w:tcBorders>
            <w:vAlign w:val="center"/>
          </w:tcPr>
          <w:p w:rsidR="00F52C48" w:rsidRPr="00F52C48" w:rsidRDefault="00F52C48" w:rsidP="000D0962">
            <w:pPr>
              <w:spacing w:after="120"/>
              <w:jc w:val="center"/>
              <w:rPr>
                <w:rFonts w:asciiTheme="minorHAnsi" w:hAnsiTheme="minorHAnsi"/>
                <w:color w:val="00B050"/>
              </w:rPr>
            </w:pPr>
            <w:r w:rsidRPr="00F52C48">
              <w:rPr>
                <w:rFonts w:asciiTheme="minorHAnsi" w:hAnsiTheme="minorHAnsi"/>
                <w:color w:val="00B050"/>
              </w:rPr>
              <w:t>79%</w:t>
            </w:r>
          </w:p>
        </w:tc>
      </w:tr>
    </w:tbl>
    <w:p w:rsidR="00F52C48" w:rsidRPr="00F52C48" w:rsidRDefault="00F52C48" w:rsidP="00F52C48">
      <w:pPr>
        <w:numPr>
          <w:ilvl w:val="0"/>
          <w:numId w:val="9"/>
        </w:numPr>
        <w:spacing w:after="0"/>
        <w:contextualSpacing/>
        <w:jc w:val="both"/>
        <w:rPr>
          <w:rFonts w:asciiTheme="minorHAnsi" w:hAnsiTheme="minorHAnsi"/>
          <w:color w:val="00B050"/>
        </w:rPr>
      </w:pPr>
      <w:r w:rsidRPr="00F52C48">
        <w:rPr>
          <w:rFonts w:asciiTheme="minorHAnsi" w:hAnsiTheme="minorHAnsi"/>
          <w:color w:val="00B050"/>
          <w:sz w:val="20"/>
          <w:szCs w:val="20"/>
        </w:rPr>
        <w:t>Percentages indicate percent of favorable or positive responses.</w:t>
      </w:r>
    </w:p>
    <w:p w:rsidR="00F52C48" w:rsidRPr="00F52C48" w:rsidRDefault="00F52C48" w:rsidP="00F52C48">
      <w:pPr>
        <w:spacing w:after="0"/>
        <w:ind w:left="360"/>
        <w:jc w:val="both"/>
        <w:rPr>
          <w:rFonts w:asciiTheme="minorHAnsi" w:hAnsiTheme="minorHAnsi"/>
        </w:rPr>
      </w:pPr>
    </w:p>
    <w:p w:rsidR="00F52C48" w:rsidRPr="00F52C48" w:rsidRDefault="00F52C48" w:rsidP="00F52C48">
      <w:pPr>
        <w:spacing w:after="0"/>
        <w:ind w:left="360"/>
        <w:jc w:val="both"/>
        <w:rPr>
          <w:rFonts w:asciiTheme="minorHAnsi" w:hAnsiTheme="minorHAnsi"/>
        </w:rPr>
      </w:pPr>
    </w:p>
    <w:p w:rsidR="00F52C48" w:rsidRPr="00F52C48" w:rsidRDefault="00F52C48" w:rsidP="00F52C48">
      <w:pPr>
        <w:spacing w:after="0"/>
        <w:ind w:left="360"/>
        <w:jc w:val="both"/>
        <w:rPr>
          <w:rFonts w:asciiTheme="minorHAnsi" w:eastAsia="Arial" w:hAnsiTheme="minorHAnsi" w:cs="Arial"/>
          <w:color w:val="0070C0"/>
        </w:rPr>
      </w:pPr>
      <w:r w:rsidRPr="00F52C48">
        <w:rPr>
          <w:rFonts w:asciiTheme="minorHAnsi" w:eastAsia="Arial" w:hAnsiTheme="minorHAnsi" w:cs="Arial"/>
          <w:color w:val="0070C0"/>
        </w:rPr>
        <w:t>Describe examples of your culture of safety efforts.  If this is a new position, describe examples of how this position can be allocated to help develop a strong safety culture by using findings of the gap analysis.</w:t>
      </w:r>
    </w:p>
    <w:p w:rsidR="00F52C48" w:rsidRPr="00F52C48" w:rsidRDefault="00F52C48" w:rsidP="00F52C48">
      <w:pPr>
        <w:spacing w:after="0"/>
        <w:ind w:left="360"/>
        <w:jc w:val="both"/>
        <w:rPr>
          <w:rFonts w:asciiTheme="minorHAnsi" w:hAnsiTheme="minorHAnsi"/>
          <w:color w:val="FF0000"/>
        </w:rPr>
      </w:pPr>
    </w:p>
    <w:p w:rsidR="00F52C48" w:rsidRPr="00F52C48" w:rsidRDefault="00F52C48" w:rsidP="00F52C48">
      <w:pPr>
        <w:spacing w:after="0"/>
        <w:ind w:left="360"/>
        <w:jc w:val="both"/>
        <w:rPr>
          <w:rFonts w:asciiTheme="minorHAnsi" w:hAnsiTheme="minorHAnsi"/>
          <w:color w:val="00B050"/>
        </w:rPr>
      </w:pPr>
      <w:r w:rsidRPr="00F52C48">
        <w:rPr>
          <w:rFonts w:asciiTheme="minorHAnsi" w:hAnsiTheme="minorHAnsi"/>
          <w:color w:val="00B050"/>
        </w:rPr>
        <w:lastRenderedPageBreak/>
        <w:t>Additionally, the Medication Safety Officer has embedded a culture of safety through:</w:t>
      </w:r>
    </w:p>
    <w:p w:rsidR="00F52C48" w:rsidRPr="00F52C48" w:rsidRDefault="00F52C48" w:rsidP="00F52C48">
      <w:pPr>
        <w:numPr>
          <w:ilvl w:val="0"/>
          <w:numId w:val="8"/>
        </w:numPr>
        <w:spacing w:after="0"/>
        <w:contextualSpacing/>
        <w:jc w:val="both"/>
        <w:rPr>
          <w:rFonts w:asciiTheme="minorHAnsi" w:hAnsiTheme="minorHAnsi"/>
          <w:color w:val="00B050"/>
        </w:rPr>
      </w:pPr>
      <w:r w:rsidRPr="00F52C48">
        <w:rPr>
          <w:rFonts w:asciiTheme="minorHAnsi" w:hAnsiTheme="minorHAnsi"/>
          <w:color w:val="00B050"/>
        </w:rPr>
        <w:t>Regular attendee at local Department huddles.  Brings recently reported medication errors for discussion and shared learning with staff.</w:t>
      </w:r>
    </w:p>
    <w:p w:rsidR="00F52C48" w:rsidRPr="00F52C48" w:rsidRDefault="00F52C48" w:rsidP="00F52C48">
      <w:pPr>
        <w:numPr>
          <w:ilvl w:val="0"/>
          <w:numId w:val="8"/>
        </w:numPr>
        <w:spacing w:after="0"/>
        <w:contextualSpacing/>
        <w:jc w:val="both"/>
        <w:rPr>
          <w:rFonts w:asciiTheme="minorHAnsi" w:hAnsiTheme="minorHAnsi"/>
          <w:color w:val="00B050"/>
        </w:rPr>
      </w:pPr>
      <w:r w:rsidRPr="00F52C48">
        <w:rPr>
          <w:rFonts w:asciiTheme="minorHAnsi" w:hAnsiTheme="minorHAnsi"/>
          <w:color w:val="00B050"/>
        </w:rPr>
        <w:t>Implemented a Good Catch segment of the Department of Pharmacy All-Staff Meeting.</w:t>
      </w:r>
    </w:p>
    <w:p w:rsidR="00F52C48" w:rsidRPr="00F52C48" w:rsidRDefault="00F52C48" w:rsidP="00F52C48">
      <w:pPr>
        <w:numPr>
          <w:ilvl w:val="0"/>
          <w:numId w:val="8"/>
        </w:numPr>
        <w:spacing w:after="0"/>
        <w:contextualSpacing/>
        <w:jc w:val="both"/>
        <w:rPr>
          <w:rFonts w:asciiTheme="minorHAnsi" w:hAnsiTheme="minorHAnsi"/>
          <w:color w:val="00B050"/>
        </w:rPr>
      </w:pPr>
      <w:r w:rsidRPr="00F52C48">
        <w:rPr>
          <w:rFonts w:asciiTheme="minorHAnsi" w:hAnsiTheme="minorHAnsi"/>
          <w:color w:val="00B050"/>
        </w:rPr>
        <w:t>Active participant on several Department Committees (ACS-PPC, POC, PIC).</w:t>
      </w:r>
    </w:p>
    <w:p w:rsidR="00F52C48" w:rsidRPr="00F52C48" w:rsidRDefault="00F52C48" w:rsidP="00F52C48">
      <w:pPr>
        <w:numPr>
          <w:ilvl w:val="0"/>
          <w:numId w:val="8"/>
        </w:numPr>
        <w:spacing w:after="0"/>
        <w:contextualSpacing/>
        <w:jc w:val="both"/>
        <w:rPr>
          <w:rFonts w:asciiTheme="minorHAnsi" w:hAnsiTheme="minorHAnsi"/>
          <w:color w:val="00B050"/>
        </w:rPr>
      </w:pPr>
      <w:r w:rsidRPr="00F52C48">
        <w:rPr>
          <w:rFonts w:asciiTheme="minorHAnsi" w:hAnsiTheme="minorHAnsi"/>
          <w:color w:val="00B050"/>
        </w:rPr>
        <w:t xml:space="preserve">Implemented Safety Facilitator Program within Pediatrics (Clinical Specialist), Oncology (Lead Pharmacist), and Acute Care Services (Clinical Generalist).   </w:t>
      </w:r>
    </w:p>
    <w:p w:rsidR="00F52C48" w:rsidRPr="00F52C48" w:rsidRDefault="00F52C48" w:rsidP="00F52C48">
      <w:pPr>
        <w:spacing w:after="0"/>
        <w:contextualSpacing/>
        <w:jc w:val="both"/>
        <w:rPr>
          <w:rFonts w:asciiTheme="minorHAnsi" w:hAnsiTheme="minorHAnsi"/>
        </w:rPr>
      </w:pPr>
    </w:p>
    <w:p w:rsidR="00F52C48" w:rsidRPr="00F52C48" w:rsidRDefault="00F52C48" w:rsidP="00F52C48">
      <w:pPr>
        <w:spacing w:after="0"/>
        <w:ind w:left="360"/>
        <w:contextualSpacing/>
        <w:jc w:val="both"/>
        <w:rPr>
          <w:rFonts w:asciiTheme="minorHAnsi" w:hAnsiTheme="minorHAnsi"/>
          <w:color w:val="0070C0"/>
        </w:rPr>
      </w:pPr>
      <w:r w:rsidRPr="00F52C48">
        <w:rPr>
          <w:rFonts w:asciiTheme="minorHAnsi" w:hAnsiTheme="minorHAnsi"/>
          <w:color w:val="0070C0"/>
        </w:rPr>
        <w:t xml:space="preserve">These are a few examples of common Medication Safety Officer </w:t>
      </w:r>
      <w:proofErr w:type="gramStart"/>
      <w:r w:rsidRPr="00F52C48">
        <w:rPr>
          <w:rFonts w:asciiTheme="minorHAnsi" w:hAnsiTheme="minorHAnsi"/>
          <w:color w:val="0070C0"/>
        </w:rPr>
        <w:t>activities</w:t>
      </w:r>
      <w:proofErr w:type="gramEnd"/>
      <w:r w:rsidRPr="00F52C48">
        <w:rPr>
          <w:rFonts w:asciiTheme="minorHAnsi" w:hAnsiTheme="minorHAnsi"/>
          <w:color w:val="0070C0"/>
        </w:rPr>
        <w:t xml:space="preserve"> that highlight the focus on a culture of safety.</w:t>
      </w:r>
    </w:p>
    <w:p w:rsidR="00F52C48" w:rsidRPr="00F52C48" w:rsidRDefault="00F52C48" w:rsidP="00F52C48">
      <w:pPr>
        <w:spacing w:after="0"/>
        <w:ind w:left="360"/>
        <w:contextualSpacing/>
        <w:jc w:val="both"/>
        <w:rPr>
          <w:rFonts w:asciiTheme="minorHAnsi" w:hAnsiTheme="minorHAnsi"/>
          <w:color w:val="FF0000"/>
        </w:rPr>
      </w:pPr>
    </w:p>
    <w:p w:rsidR="00F52C48" w:rsidRPr="00F52C48" w:rsidRDefault="00F52C48" w:rsidP="00F52C48">
      <w:pPr>
        <w:spacing w:after="0"/>
        <w:ind w:left="360"/>
        <w:jc w:val="both"/>
        <w:rPr>
          <w:rFonts w:asciiTheme="minorHAnsi" w:hAnsiTheme="minorHAnsi"/>
          <w:b/>
          <w:i/>
        </w:rPr>
      </w:pPr>
      <w:r w:rsidRPr="00F52C48">
        <w:rPr>
          <w:rFonts w:asciiTheme="minorHAnsi" w:hAnsiTheme="minorHAnsi"/>
          <w:b/>
          <w:i/>
        </w:rPr>
        <w:t xml:space="preserve">Regulatory and Accreditation Compliance </w:t>
      </w:r>
    </w:p>
    <w:p w:rsidR="00F52C48" w:rsidRPr="00F52C48" w:rsidRDefault="00F52C48" w:rsidP="00F52C48">
      <w:pPr>
        <w:spacing w:after="0"/>
        <w:ind w:left="360"/>
        <w:jc w:val="both"/>
        <w:rPr>
          <w:rFonts w:asciiTheme="minorHAnsi" w:hAnsiTheme="minorHAnsi"/>
        </w:rPr>
      </w:pPr>
      <w:r w:rsidRPr="00F52C48">
        <w:rPr>
          <w:rFonts w:asciiTheme="minorHAnsi" w:hAnsiTheme="minorHAnsi"/>
        </w:rPr>
        <w:t xml:space="preserve">While ensuring compliance with regulatory and accreditation standards is a shared responsibility, the Medication Safety Officer is well positioned to provide leadership support and accountability for compliance with (insert applicable regulatory and accreditation standards (e.g., BOP, TJC, CMS)). </w:t>
      </w:r>
    </w:p>
    <w:p w:rsidR="00F52C48" w:rsidRPr="00F52C48" w:rsidRDefault="00F52C48" w:rsidP="00F52C48">
      <w:pPr>
        <w:spacing w:after="0"/>
        <w:ind w:left="360"/>
        <w:jc w:val="both"/>
        <w:rPr>
          <w:rFonts w:asciiTheme="minorHAnsi" w:hAnsiTheme="minorHAnsi"/>
        </w:rPr>
      </w:pPr>
    </w:p>
    <w:p w:rsidR="00F52C48" w:rsidRPr="00F52C48" w:rsidRDefault="00F52C48" w:rsidP="00F52C48">
      <w:pPr>
        <w:spacing w:after="0"/>
        <w:ind w:left="360"/>
        <w:jc w:val="both"/>
        <w:rPr>
          <w:rFonts w:asciiTheme="minorHAnsi" w:hAnsiTheme="minorHAnsi"/>
          <w:color w:val="00B050"/>
        </w:rPr>
      </w:pPr>
      <w:r w:rsidRPr="00F52C48">
        <w:rPr>
          <w:rFonts w:asciiTheme="minorHAnsi" w:hAnsiTheme="minorHAnsi"/>
          <w:color w:val="00B050"/>
        </w:rPr>
        <w:t xml:space="preserve">In August 2016 TJC conducted their triennial survey of (insert hospital name).  Overall there were x Medication Management and National Patient Safety Goal findings resulting in x action plans.  X Medication Management standards that were cited required Measures of Success (auditing and submission of results to TJC).  Commitment to pre-, concurrent, and post-TJC visit preparation by the Department of Pharmacy is critical to the Organization.    </w:t>
      </w:r>
    </w:p>
    <w:p w:rsidR="00F52C48" w:rsidRPr="00F52C48" w:rsidRDefault="00F52C48" w:rsidP="00F52C48">
      <w:pPr>
        <w:spacing w:after="0"/>
        <w:ind w:left="360"/>
        <w:jc w:val="both"/>
        <w:rPr>
          <w:rFonts w:asciiTheme="minorHAnsi" w:hAnsiTheme="minorHAnsi"/>
        </w:rPr>
      </w:pPr>
    </w:p>
    <w:p w:rsidR="00F52C48" w:rsidRPr="00F52C48" w:rsidRDefault="00F52C48" w:rsidP="00F52C48">
      <w:pPr>
        <w:spacing w:after="0"/>
        <w:ind w:left="360"/>
        <w:jc w:val="both"/>
        <w:rPr>
          <w:rFonts w:asciiTheme="minorHAnsi" w:hAnsiTheme="minorHAnsi"/>
        </w:rPr>
      </w:pPr>
      <w:r w:rsidRPr="00F52C48">
        <w:rPr>
          <w:rFonts w:asciiTheme="minorHAnsi" w:hAnsiTheme="minorHAnsi"/>
        </w:rPr>
        <w:t xml:space="preserve">By adding </w:t>
      </w:r>
      <w:proofErr w:type="gramStart"/>
      <w:r w:rsidRPr="00F52C48">
        <w:rPr>
          <w:rFonts w:asciiTheme="minorHAnsi" w:hAnsiTheme="minorHAnsi"/>
        </w:rPr>
        <w:t>a(</w:t>
      </w:r>
      <w:proofErr w:type="gramEnd"/>
      <w:r w:rsidRPr="00F52C48">
        <w:rPr>
          <w:rFonts w:asciiTheme="minorHAnsi" w:hAnsiTheme="minorHAnsi"/>
        </w:rPr>
        <w:t xml:space="preserve">n) (additional) dedicated FTE for medication safety activities, coverage of medication safety activities during accreditation site visits will remain constant.   This would also free the Medication Safety Officer to devote time for accreditation-related activities throughout the organization.  </w:t>
      </w:r>
    </w:p>
    <w:p w:rsidR="00F52C48" w:rsidRPr="00F52C48" w:rsidRDefault="00F52C48" w:rsidP="00F52C48">
      <w:pPr>
        <w:spacing w:after="0"/>
        <w:ind w:left="360"/>
        <w:jc w:val="both"/>
        <w:rPr>
          <w:rFonts w:asciiTheme="minorHAnsi" w:hAnsiTheme="minorHAnsi"/>
        </w:rPr>
      </w:pPr>
    </w:p>
    <w:p w:rsidR="00F52C48" w:rsidRPr="00F52C48" w:rsidRDefault="00F52C48" w:rsidP="00F52C48">
      <w:pPr>
        <w:spacing w:after="0"/>
        <w:ind w:left="360"/>
        <w:jc w:val="both"/>
        <w:rPr>
          <w:rFonts w:asciiTheme="minorHAnsi" w:hAnsiTheme="minorHAnsi"/>
          <w:color w:val="0070C0"/>
        </w:rPr>
      </w:pPr>
      <w:r w:rsidRPr="00F52C48">
        <w:rPr>
          <w:rFonts w:asciiTheme="minorHAnsi" w:hAnsiTheme="minorHAnsi"/>
          <w:color w:val="0070C0"/>
        </w:rPr>
        <w:t xml:space="preserve">Many Medication Safety Officers are also involved with or responsible for ensuring compliance with accreditation and regulatory standards.  If your department/organization does not have someone dedicated to these activities, consider including them in the scope of responsibilities for this position.  Many of the activities related to accreditation and regulatory compliance intersect with safety so this is a good way to achieve both goals.  </w:t>
      </w:r>
    </w:p>
    <w:p w:rsidR="00F52C48" w:rsidRPr="00F52C48" w:rsidRDefault="00F52C48" w:rsidP="00F52C48">
      <w:pPr>
        <w:spacing w:after="0"/>
        <w:ind w:left="360"/>
        <w:jc w:val="both"/>
        <w:rPr>
          <w:rFonts w:asciiTheme="minorHAnsi" w:hAnsiTheme="minorHAnsi"/>
          <w:color w:val="0070C0"/>
        </w:rPr>
      </w:pPr>
    </w:p>
    <w:p w:rsidR="00F52C48" w:rsidRPr="00F52C48" w:rsidRDefault="00F52C48" w:rsidP="00F52C48">
      <w:pPr>
        <w:spacing w:after="0"/>
        <w:ind w:left="360"/>
        <w:jc w:val="both"/>
        <w:rPr>
          <w:rFonts w:asciiTheme="minorHAnsi" w:hAnsiTheme="minorHAnsi"/>
          <w:color w:val="0070C0"/>
        </w:rPr>
      </w:pPr>
      <w:r w:rsidRPr="00F52C48">
        <w:rPr>
          <w:rFonts w:asciiTheme="minorHAnsi" w:hAnsiTheme="minorHAnsi"/>
          <w:color w:val="0070C0"/>
        </w:rPr>
        <w:t xml:space="preserve">If your organization already deploys a Medication Safety Officer to perform these tasks, consider highlighting the value of this contribution.  Consider highlighting the opportunity cost of utilizing 1 FTE for both sets of activities (lost time/lower prioritization of safety activities). </w:t>
      </w:r>
    </w:p>
    <w:p w:rsidR="00F52C48" w:rsidRPr="00F52C48" w:rsidRDefault="00F52C48" w:rsidP="00F52C48">
      <w:pPr>
        <w:spacing w:after="0"/>
        <w:ind w:left="360"/>
        <w:jc w:val="both"/>
        <w:rPr>
          <w:rFonts w:asciiTheme="minorHAnsi" w:hAnsiTheme="minorHAnsi"/>
        </w:rPr>
      </w:pPr>
    </w:p>
    <w:p w:rsidR="00F52C48" w:rsidRPr="00F52C48" w:rsidRDefault="00F52C48" w:rsidP="00F52C48">
      <w:pPr>
        <w:spacing w:after="0"/>
        <w:ind w:left="360"/>
        <w:jc w:val="both"/>
        <w:rPr>
          <w:rFonts w:asciiTheme="minorHAnsi" w:hAnsiTheme="minorHAnsi"/>
          <w:b/>
          <w:i/>
        </w:rPr>
      </w:pPr>
      <w:r w:rsidRPr="00F52C48">
        <w:rPr>
          <w:rFonts w:asciiTheme="minorHAnsi" w:hAnsiTheme="minorHAnsi"/>
          <w:b/>
          <w:i/>
        </w:rPr>
        <w:t>Infusion Pump Drug Library Data Support</w:t>
      </w:r>
    </w:p>
    <w:p w:rsidR="00F52C48" w:rsidRPr="00F52C48" w:rsidRDefault="00F52C48" w:rsidP="00F52C48">
      <w:pPr>
        <w:spacing w:after="0"/>
        <w:ind w:left="360"/>
        <w:jc w:val="both"/>
        <w:rPr>
          <w:rFonts w:asciiTheme="minorHAnsi" w:hAnsiTheme="minorHAnsi"/>
        </w:rPr>
      </w:pPr>
      <w:proofErr w:type="gramStart"/>
      <w:r w:rsidRPr="00F52C48">
        <w:rPr>
          <w:rFonts w:asciiTheme="minorHAnsi" w:hAnsiTheme="minorHAnsi"/>
        </w:rPr>
        <w:t xml:space="preserve">Leadership within the </w:t>
      </w:r>
      <w:sdt>
        <w:sdtPr>
          <w:rPr>
            <w:rFonts w:asciiTheme="minorHAnsi" w:hAnsiTheme="minorHAnsi"/>
          </w:rPr>
          <w:id w:val="-856967099"/>
          <w:placeholder>
            <w:docPart w:val="620664EFF02E434194D4DD640483D755"/>
          </w:placeholder>
        </w:sdtPr>
        <w:sdtEndPr/>
        <w:sdtContent>
          <w:r w:rsidRPr="00F52C48">
            <w:rPr>
              <w:rStyle w:val="PlaceholderText"/>
              <w:rFonts w:asciiTheme="minorHAnsi" w:hAnsiTheme="minorHAnsi"/>
            </w:rPr>
            <w:t>Click or tap here to enter text.</w:t>
          </w:r>
          <w:proofErr w:type="gramEnd"/>
        </w:sdtContent>
      </w:sdt>
      <w:r w:rsidRPr="00F52C48">
        <w:rPr>
          <w:rFonts w:asciiTheme="minorHAnsi" w:hAnsiTheme="minorHAnsi"/>
        </w:rPr>
        <w:t xml:space="preserve"> </w:t>
      </w:r>
      <w:proofErr w:type="gramStart"/>
      <w:r w:rsidRPr="00F52C48">
        <w:rPr>
          <w:rFonts w:asciiTheme="minorHAnsi" w:hAnsiTheme="minorHAnsi"/>
        </w:rPr>
        <w:t>infusion</w:t>
      </w:r>
      <w:proofErr w:type="gramEnd"/>
      <w:r w:rsidRPr="00F52C48">
        <w:rPr>
          <w:rFonts w:asciiTheme="minorHAnsi" w:hAnsiTheme="minorHAnsi"/>
        </w:rPr>
        <w:t xml:space="preserve"> pump oversight committee is a core responsibility for the Medication Safety Officer. A FTE dedicated to medication safety would ensure continued high-level support for the organization’s infusion pump drug libraries build and data management a role that will allow the highest quality and functionality of infusion pump use while </w:t>
      </w:r>
      <w:r w:rsidRPr="00F52C48">
        <w:rPr>
          <w:rFonts w:asciiTheme="minorHAnsi" w:hAnsiTheme="minorHAnsi"/>
        </w:rPr>
        <w:lastRenderedPageBreak/>
        <w:t>ensuring safe operation of smart pumps</w:t>
      </w:r>
    </w:p>
    <w:p w:rsidR="00F52C48" w:rsidRPr="00F52C48" w:rsidRDefault="00F52C48" w:rsidP="00F52C48">
      <w:pPr>
        <w:spacing w:after="0"/>
        <w:ind w:left="360"/>
        <w:jc w:val="both"/>
        <w:rPr>
          <w:rFonts w:asciiTheme="minorHAnsi" w:hAnsiTheme="minorHAnsi"/>
        </w:rPr>
      </w:pPr>
    </w:p>
    <w:p w:rsidR="00F52C48" w:rsidRPr="00F52C48" w:rsidRDefault="00F52C48" w:rsidP="00F52C48">
      <w:pPr>
        <w:spacing w:after="0"/>
        <w:ind w:left="360"/>
        <w:jc w:val="both"/>
        <w:rPr>
          <w:rFonts w:asciiTheme="minorHAnsi" w:hAnsiTheme="minorHAnsi"/>
          <w:color w:val="0070C0"/>
        </w:rPr>
      </w:pPr>
      <w:r w:rsidRPr="00F52C48">
        <w:rPr>
          <w:rFonts w:asciiTheme="minorHAnsi" w:hAnsiTheme="minorHAnsi"/>
          <w:color w:val="0070C0"/>
        </w:rPr>
        <w:t xml:space="preserve">Many Medication Safety Officers are involved with automation and technology data management.  Consider describing support the MSO provides for infusion pump analytics.  Many third-party vendors will provide these services for a fee or in difficult to interpret, lengthy reports.  Highlight the benefit of a dedicated individual who can interpret these data so that action-focused improvements can be realized. </w:t>
      </w:r>
    </w:p>
    <w:p w:rsidR="00F52C48" w:rsidRPr="00F52C48" w:rsidRDefault="00F52C48" w:rsidP="00F52C48">
      <w:pPr>
        <w:spacing w:after="0"/>
        <w:jc w:val="both"/>
        <w:rPr>
          <w:rFonts w:asciiTheme="minorHAnsi" w:hAnsiTheme="minorHAnsi"/>
          <w:color w:val="0070C0"/>
        </w:rPr>
      </w:pPr>
    </w:p>
    <w:p w:rsidR="00F52C48" w:rsidRPr="00F52C48" w:rsidRDefault="00F52C48" w:rsidP="00F52C48">
      <w:pPr>
        <w:spacing w:after="0"/>
        <w:jc w:val="both"/>
        <w:rPr>
          <w:rFonts w:asciiTheme="minorHAnsi" w:hAnsiTheme="minorHAnsi"/>
          <w:color w:val="0070C0"/>
        </w:rPr>
      </w:pPr>
      <w:r w:rsidRPr="00F52C48">
        <w:rPr>
          <w:rFonts w:asciiTheme="minorHAnsi" w:hAnsiTheme="minorHAnsi"/>
          <w:color w:val="0070C0"/>
        </w:rPr>
        <w:t>Other topics to consider for this section include:</w:t>
      </w:r>
    </w:p>
    <w:p w:rsidR="00F52C48" w:rsidRPr="00F52C48" w:rsidRDefault="00F52C48" w:rsidP="00F52C48">
      <w:pPr>
        <w:numPr>
          <w:ilvl w:val="0"/>
          <w:numId w:val="6"/>
        </w:numPr>
        <w:spacing w:after="0"/>
        <w:contextualSpacing/>
        <w:jc w:val="both"/>
        <w:rPr>
          <w:rFonts w:asciiTheme="minorHAnsi" w:hAnsiTheme="minorHAnsi"/>
          <w:color w:val="0070C0"/>
        </w:rPr>
      </w:pPr>
      <w:r w:rsidRPr="00F52C48">
        <w:rPr>
          <w:rFonts w:asciiTheme="minorHAnsi" w:hAnsiTheme="minorHAnsi"/>
          <w:color w:val="0070C0"/>
        </w:rPr>
        <w:t>Aligning request with department or organization mission/vision</w:t>
      </w:r>
    </w:p>
    <w:p w:rsidR="00F52C48" w:rsidRPr="00F52C48" w:rsidRDefault="00F52C48" w:rsidP="00F52C48">
      <w:pPr>
        <w:numPr>
          <w:ilvl w:val="0"/>
          <w:numId w:val="6"/>
        </w:numPr>
        <w:spacing w:after="0"/>
        <w:contextualSpacing/>
        <w:jc w:val="both"/>
        <w:rPr>
          <w:rFonts w:asciiTheme="minorHAnsi" w:hAnsiTheme="minorHAnsi"/>
          <w:color w:val="0070C0"/>
        </w:rPr>
      </w:pPr>
      <w:r w:rsidRPr="00F52C48">
        <w:rPr>
          <w:rFonts w:asciiTheme="minorHAnsi" w:hAnsiTheme="minorHAnsi"/>
          <w:color w:val="0070C0"/>
        </w:rPr>
        <w:t>Description of work that is being or will be completed by MSO</w:t>
      </w:r>
    </w:p>
    <w:p w:rsidR="00F52C48" w:rsidRPr="00F52C48" w:rsidRDefault="00F52C48" w:rsidP="00F52C48">
      <w:pPr>
        <w:numPr>
          <w:ilvl w:val="0"/>
          <w:numId w:val="6"/>
        </w:numPr>
        <w:spacing w:after="0"/>
        <w:contextualSpacing/>
        <w:jc w:val="both"/>
        <w:rPr>
          <w:rFonts w:asciiTheme="minorHAnsi" w:hAnsiTheme="minorHAnsi"/>
          <w:color w:val="0070C0"/>
        </w:rPr>
      </w:pPr>
      <w:r w:rsidRPr="00F52C48">
        <w:rPr>
          <w:rFonts w:asciiTheme="minorHAnsi" w:hAnsiTheme="minorHAnsi"/>
          <w:color w:val="0070C0"/>
        </w:rPr>
        <w:t>Medication safety metrics that are tracked</w:t>
      </w:r>
    </w:p>
    <w:p w:rsidR="00F52C48" w:rsidRPr="00F52C48" w:rsidRDefault="00F52C48" w:rsidP="00F52C48">
      <w:pPr>
        <w:numPr>
          <w:ilvl w:val="0"/>
          <w:numId w:val="6"/>
        </w:numPr>
        <w:spacing w:after="0"/>
        <w:contextualSpacing/>
        <w:jc w:val="both"/>
        <w:rPr>
          <w:rFonts w:asciiTheme="minorHAnsi" w:hAnsiTheme="minorHAnsi"/>
          <w:color w:val="0070C0"/>
        </w:rPr>
      </w:pPr>
      <w:r w:rsidRPr="00F52C48">
        <w:rPr>
          <w:rFonts w:asciiTheme="minorHAnsi" w:hAnsiTheme="minorHAnsi"/>
          <w:color w:val="0070C0"/>
        </w:rPr>
        <w:t>MSO resources allocated at other facilities within your health system</w:t>
      </w:r>
    </w:p>
    <w:p w:rsidR="00F52C48" w:rsidRPr="00F52C48" w:rsidRDefault="00F52C48" w:rsidP="00F52C48">
      <w:pPr>
        <w:numPr>
          <w:ilvl w:val="0"/>
          <w:numId w:val="6"/>
        </w:numPr>
        <w:spacing w:after="0"/>
        <w:contextualSpacing/>
        <w:jc w:val="both"/>
        <w:rPr>
          <w:rFonts w:asciiTheme="minorHAnsi" w:hAnsiTheme="minorHAnsi"/>
          <w:color w:val="0070C0"/>
        </w:rPr>
      </w:pPr>
      <w:r w:rsidRPr="00F52C48">
        <w:rPr>
          <w:rFonts w:asciiTheme="minorHAnsi" w:hAnsiTheme="minorHAnsi"/>
          <w:color w:val="0070C0"/>
        </w:rPr>
        <w:t>MSO resources allocated at peer institutions</w:t>
      </w:r>
    </w:p>
    <w:p w:rsidR="00F52C48" w:rsidRPr="00F52C48" w:rsidRDefault="00F52C48" w:rsidP="00F52C48">
      <w:pPr>
        <w:spacing w:after="0"/>
        <w:ind w:left="360"/>
        <w:jc w:val="both"/>
        <w:rPr>
          <w:rFonts w:asciiTheme="minorHAnsi" w:hAnsiTheme="minorHAnsi"/>
        </w:rPr>
      </w:pPr>
    </w:p>
    <w:p w:rsidR="00F52C48" w:rsidRPr="00F52C48" w:rsidRDefault="00F52C48" w:rsidP="00F52C48">
      <w:pPr>
        <w:numPr>
          <w:ilvl w:val="0"/>
          <w:numId w:val="5"/>
        </w:numPr>
        <w:spacing w:after="0"/>
        <w:contextualSpacing/>
        <w:jc w:val="both"/>
        <w:rPr>
          <w:rFonts w:asciiTheme="minorHAnsi" w:hAnsiTheme="minorHAnsi"/>
          <w:b/>
        </w:rPr>
      </w:pPr>
      <w:r w:rsidRPr="00F52C48">
        <w:rPr>
          <w:rFonts w:asciiTheme="minorHAnsi" w:hAnsiTheme="minorHAnsi"/>
          <w:b/>
        </w:rPr>
        <w:t>Indicate the department in which the employee would work</w:t>
      </w:r>
    </w:p>
    <w:p w:rsidR="00F52C48" w:rsidRPr="00F52C48" w:rsidRDefault="00F52C48" w:rsidP="00F52C48">
      <w:pPr>
        <w:numPr>
          <w:ilvl w:val="1"/>
          <w:numId w:val="5"/>
        </w:numPr>
        <w:spacing w:after="0"/>
        <w:contextualSpacing/>
        <w:jc w:val="both"/>
        <w:rPr>
          <w:rFonts w:asciiTheme="minorHAnsi" w:hAnsiTheme="minorHAnsi"/>
          <w:b/>
        </w:rPr>
      </w:pPr>
      <w:r w:rsidRPr="00F52C48">
        <w:rPr>
          <w:rFonts w:asciiTheme="minorHAnsi" w:hAnsiTheme="minorHAnsi"/>
        </w:rPr>
        <w:t xml:space="preserve">Department Name: </w:t>
      </w:r>
    </w:p>
    <w:p w:rsidR="00F52C48" w:rsidRPr="00F52C48" w:rsidRDefault="00F52C48" w:rsidP="00F52C48">
      <w:pPr>
        <w:numPr>
          <w:ilvl w:val="1"/>
          <w:numId w:val="5"/>
        </w:numPr>
        <w:spacing w:after="0"/>
        <w:contextualSpacing/>
        <w:jc w:val="both"/>
        <w:rPr>
          <w:rFonts w:asciiTheme="minorHAnsi" w:hAnsiTheme="minorHAnsi"/>
          <w:b/>
        </w:rPr>
      </w:pPr>
      <w:r w:rsidRPr="00F52C48">
        <w:rPr>
          <w:rFonts w:asciiTheme="minorHAnsi" w:hAnsiTheme="minorHAnsi"/>
        </w:rPr>
        <w:t>Department:</w:t>
      </w:r>
    </w:p>
    <w:p w:rsidR="00F52C48" w:rsidRPr="00F52C48" w:rsidRDefault="00F52C48" w:rsidP="00F52C48">
      <w:pPr>
        <w:numPr>
          <w:ilvl w:val="1"/>
          <w:numId w:val="5"/>
        </w:numPr>
        <w:spacing w:after="0"/>
        <w:contextualSpacing/>
        <w:jc w:val="both"/>
        <w:rPr>
          <w:rFonts w:asciiTheme="minorHAnsi" w:hAnsiTheme="minorHAnsi"/>
          <w:b/>
        </w:rPr>
      </w:pPr>
      <w:r w:rsidRPr="00F52C48">
        <w:rPr>
          <w:rFonts w:asciiTheme="minorHAnsi" w:hAnsiTheme="minorHAnsi"/>
        </w:rPr>
        <w:t>Job Code:</w:t>
      </w:r>
    </w:p>
    <w:p w:rsidR="00F52C48" w:rsidRPr="00F52C48" w:rsidRDefault="00F52C48" w:rsidP="00F52C48">
      <w:pPr>
        <w:numPr>
          <w:ilvl w:val="1"/>
          <w:numId w:val="5"/>
        </w:numPr>
        <w:spacing w:after="0"/>
        <w:contextualSpacing/>
        <w:jc w:val="both"/>
        <w:rPr>
          <w:rFonts w:asciiTheme="minorHAnsi" w:hAnsiTheme="minorHAnsi"/>
          <w:b/>
        </w:rPr>
      </w:pPr>
      <w:r w:rsidRPr="00F52C48">
        <w:rPr>
          <w:rFonts w:asciiTheme="minorHAnsi" w:hAnsiTheme="minorHAnsi"/>
        </w:rPr>
        <w:t xml:space="preserve">Current FTE: </w:t>
      </w:r>
    </w:p>
    <w:p w:rsidR="00F52C48" w:rsidRPr="00F52C48" w:rsidRDefault="00F52C48" w:rsidP="00F52C48">
      <w:pPr>
        <w:numPr>
          <w:ilvl w:val="1"/>
          <w:numId w:val="5"/>
        </w:numPr>
        <w:contextualSpacing/>
        <w:jc w:val="both"/>
        <w:rPr>
          <w:rFonts w:asciiTheme="minorHAnsi" w:hAnsiTheme="minorHAnsi"/>
          <w:b/>
        </w:rPr>
      </w:pPr>
      <w:r w:rsidRPr="00F52C48">
        <w:rPr>
          <w:rFonts w:asciiTheme="minorHAnsi" w:hAnsiTheme="minorHAnsi"/>
        </w:rPr>
        <w:t xml:space="preserve">VP Name: </w:t>
      </w:r>
    </w:p>
    <w:p w:rsidR="00F52C48" w:rsidRPr="00F52C48" w:rsidRDefault="00F52C48" w:rsidP="00F52C48">
      <w:pPr>
        <w:ind w:left="360"/>
        <w:contextualSpacing/>
        <w:jc w:val="both"/>
        <w:rPr>
          <w:rFonts w:asciiTheme="minorHAnsi" w:hAnsiTheme="minorHAnsi"/>
          <w:b/>
        </w:rPr>
      </w:pPr>
    </w:p>
    <w:p w:rsidR="00F52C48" w:rsidRPr="00F52C48" w:rsidRDefault="00F52C48" w:rsidP="00F52C48">
      <w:pPr>
        <w:ind w:left="360"/>
        <w:contextualSpacing/>
        <w:jc w:val="both"/>
        <w:rPr>
          <w:rFonts w:asciiTheme="minorHAnsi" w:hAnsiTheme="minorHAnsi"/>
          <w:color w:val="0070C0"/>
        </w:rPr>
      </w:pPr>
      <w:r w:rsidRPr="00F52C48">
        <w:rPr>
          <w:rFonts w:asciiTheme="minorHAnsi" w:hAnsiTheme="minorHAnsi"/>
          <w:color w:val="0070C0"/>
        </w:rPr>
        <w:t xml:space="preserve">Considerations may include the reporting structure and where the position belongs on an organizational chart.  Mediation safety officers might report to the pharmacy department, the safety department, risk management, or another department.  Department and reporting structure may affect the ability to implement changes to the organization’s medication use processes.   </w:t>
      </w:r>
    </w:p>
    <w:p w:rsidR="00F52C48" w:rsidRPr="00F52C48" w:rsidRDefault="00F52C48" w:rsidP="00F52C48">
      <w:pPr>
        <w:ind w:left="360"/>
        <w:contextualSpacing/>
        <w:jc w:val="both"/>
        <w:rPr>
          <w:rFonts w:asciiTheme="minorHAnsi" w:hAnsiTheme="minorHAnsi"/>
        </w:rPr>
      </w:pPr>
    </w:p>
    <w:p w:rsidR="00F52C48" w:rsidRPr="00F52C48" w:rsidRDefault="00F52C48" w:rsidP="00F52C48">
      <w:pPr>
        <w:jc w:val="both"/>
        <w:rPr>
          <w:rFonts w:asciiTheme="minorHAnsi" w:hAnsiTheme="minorHAnsi"/>
          <w:b/>
        </w:rPr>
      </w:pPr>
      <w:r w:rsidRPr="00F52C48">
        <w:rPr>
          <w:rFonts w:asciiTheme="minorHAnsi" w:hAnsiTheme="minorHAnsi"/>
          <w:b/>
        </w:rPr>
        <w:t>Salary Information</w:t>
      </w:r>
    </w:p>
    <w:p w:rsidR="00F52C48" w:rsidRPr="00F52C48" w:rsidRDefault="00F52C48" w:rsidP="00F52C48">
      <w:pPr>
        <w:ind w:left="360"/>
        <w:jc w:val="both"/>
        <w:rPr>
          <w:rFonts w:asciiTheme="minorHAnsi" w:hAnsiTheme="minorHAnsi"/>
          <w:color w:val="000000" w:themeColor="text1"/>
        </w:rPr>
      </w:pPr>
      <w:r w:rsidRPr="00F52C48">
        <w:rPr>
          <w:rFonts w:asciiTheme="minorHAnsi" w:hAnsiTheme="minorHAnsi"/>
          <w:color w:val="000000" w:themeColor="text1"/>
        </w:rPr>
        <w:t>Add your organization’s requirements for salary information</w:t>
      </w:r>
    </w:p>
    <w:p w:rsidR="00F52C48" w:rsidRPr="00F52C48" w:rsidRDefault="00F52C48" w:rsidP="00F52C48">
      <w:pPr>
        <w:numPr>
          <w:ilvl w:val="0"/>
          <w:numId w:val="5"/>
        </w:numPr>
        <w:spacing w:after="0"/>
        <w:contextualSpacing/>
        <w:jc w:val="both"/>
        <w:rPr>
          <w:rFonts w:asciiTheme="minorHAnsi" w:hAnsiTheme="minorHAnsi"/>
          <w:b/>
        </w:rPr>
      </w:pPr>
      <w:r w:rsidRPr="00F52C48">
        <w:rPr>
          <w:rFonts w:asciiTheme="minorHAnsi" w:hAnsiTheme="minorHAnsi"/>
          <w:b/>
        </w:rPr>
        <w:t>Indicate why this job cannot be covered by other staff</w:t>
      </w:r>
    </w:p>
    <w:p w:rsidR="00F52C48" w:rsidRPr="00F52C48" w:rsidRDefault="00F52C48" w:rsidP="00F52C48">
      <w:pPr>
        <w:spacing w:after="0"/>
        <w:ind w:left="360"/>
        <w:jc w:val="both"/>
        <w:rPr>
          <w:rFonts w:asciiTheme="minorHAnsi" w:hAnsiTheme="minorHAnsi"/>
        </w:rPr>
      </w:pPr>
      <w:r w:rsidRPr="00F52C48">
        <w:rPr>
          <w:rFonts w:asciiTheme="minorHAnsi" w:hAnsiTheme="minorHAnsi"/>
        </w:rPr>
        <w:t>As with other pharmacist clinical specialist positions, specialized training and/or practice experience in medication safety is vital to success of this position.  Detailed knowledge of the science of patient safety, quality improvement principles such as Lean and Six Sigma, and in-depth understanding of clinical and operational pharmacy practice are essential to this role.  Additionally, this role requires high level communication, interpersonal, and leadership skills.</w:t>
      </w:r>
      <w:r w:rsidRPr="00F52C48">
        <w:rPr>
          <w:rFonts w:asciiTheme="minorHAnsi" w:hAnsiTheme="minorHAnsi"/>
          <w:vertAlign w:val="superscript"/>
        </w:rPr>
        <w:t>5</w:t>
      </w:r>
      <w:r w:rsidRPr="00F52C48">
        <w:rPr>
          <w:rFonts w:asciiTheme="minorHAnsi" w:hAnsiTheme="minorHAnsi"/>
        </w:rPr>
        <w:t xml:space="preserve">   </w:t>
      </w:r>
    </w:p>
    <w:p w:rsidR="00F52C48" w:rsidRPr="00F52C48" w:rsidRDefault="00F52C48" w:rsidP="00F52C48">
      <w:pPr>
        <w:spacing w:after="0"/>
        <w:ind w:left="360"/>
        <w:jc w:val="both"/>
        <w:rPr>
          <w:rFonts w:asciiTheme="minorHAnsi" w:hAnsiTheme="minorHAnsi"/>
        </w:rPr>
      </w:pPr>
    </w:p>
    <w:p w:rsidR="00F52C48" w:rsidRPr="00F52C48" w:rsidRDefault="00F52C48" w:rsidP="00F52C48">
      <w:pPr>
        <w:spacing w:after="0"/>
        <w:ind w:left="360"/>
        <w:jc w:val="both"/>
        <w:rPr>
          <w:rFonts w:asciiTheme="minorHAnsi" w:hAnsiTheme="minorHAnsi"/>
          <w:color w:val="0070C0"/>
        </w:rPr>
      </w:pPr>
      <w:r w:rsidRPr="00F52C48">
        <w:rPr>
          <w:rFonts w:asciiTheme="minorHAnsi" w:hAnsiTheme="minorHAnsi"/>
          <w:color w:val="0070C0"/>
        </w:rPr>
        <w:t xml:space="preserve">Describe the attributes of medication safety leaders in this section, focusing on the importance of having someone in this type of role.  The ASHP Statement on the Role of the Medication Safety Leader is a helpful tool in emphasizing these traits.  Additionally, specialized training of medication safety specialists can be highlighted here as well. </w:t>
      </w:r>
    </w:p>
    <w:p w:rsidR="00F52C48" w:rsidRPr="00F52C48" w:rsidRDefault="00F52C48" w:rsidP="00F52C48">
      <w:pPr>
        <w:spacing w:after="0"/>
        <w:ind w:left="360"/>
        <w:jc w:val="both"/>
        <w:rPr>
          <w:rFonts w:asciiTheme="minorHAnsi" w:hAnsiTheme="minorHAnsi"/>
          <w:b/>
        </w:rPr>
      </w:pPr>
    </w:p>
    <w:p w:rsidR="00F52C48" w:rsidRPr="00F52C48" w:rsidRDefault="00F52C48" w:rsidP="00F52C48">
      <w:pPr>
        <w:numPr>
          <w:ilvl w:val="0"/>
          <w:numId w:val="5"/>
        </w:numPr>
        <w:spacing w:after="0"/>
        <w:contextualSpacing/>
        <w:jc w:val="both"/>
        <w:rPr>
          <w:rFonts w:asciiTheme="minorHAnsi" w:hAnsiTheme="minorHAnsi"/>
          <w:b/>
        </w:rPr>
      </w:pPr>
      <w:r w:rsidRPr="00F52C48">
        <w:rPr>
          <w:rFonts w:asciiTheme="minorHAnsi" w:hAnsiTheme="minorHAnsi"/>
          <w:b/>
        </w:rPr>
        <w:t>Describe the negative impact of not adding this position</w:t>
      </w:r>
    </w:p>
    <w:p w:rsidR="00F52C48" w:rsidRPr="00F52C48" w:rsidRDefault="00F52C48" w:rsidP="00F52C48">
      <w:pPr>
        <w:spacing w:after="0"/>
        <w:ind w:left="360"/>
        <w:jc w:val="both"/>
        <w:rPr>
          <w:rFonts w:asciiTheme="minorHAnsi" w:hAnsiTheme="minorHAnsi"/>
        </w:rPr>
      </w:pPr>
    </w:p>
    <w:p w:rsidR="00F52C48" w:rsidRPr="00F52C48" w:rsidRDefault="00F52C48" w:rsidP="00F52C48">
      <w:pPr>
        <w:spacing w:after="0"/>
        <w:ind w:left="360"/>
        <w:jc w:val="both"/>
        <w:rPr>
          <w:rFonts w:asciiTheme="minorHAnsi" w:hAnsiTheme="minorHAnsi"/>
          <w:color w:val="0070C0"/>
        </w:rPr>
      </w:pPr>
      <w:r w:rsidRPr="00F52C48">
        <w:rPr>
          <w:rFonts w:asciiTheme="minorHAnsi" w:hAnsiTheme="minorHAnsi"/>
          <w:color w:val="0070C0"/>
        </w:rPr>
        <w:t xml:space="preserve">This section is where findings from the gap analysis should be summarized.  Key medication safety tasks not being addressed should be prioritized based on high impact and high priority (See Appendix A, Gap Analysis Tool found within this Toolkit). </w:t>
      </w:r>
    </w:p>
    <w:p w:rsidR="00F52C48" w:rsidRPr="00F52C48" w:rsidRDefault="00F52C48" w:rsidP="00F52C48">
      <w:pPr>
        <w:spacing w:after="0"/>
        <w:ind w:left="360"/>
        <w:jc w:val="both"/>
        <w:rPr>
          <w:rFonts w:asciiTheme="minorHAnsi" w:hAnsiTheme="minorHAnsi"/>
          <w:color w:val="0070C0"/>
        </w:rPr>
      </w:pPr>
    </w:p>
    <w:p w:rsidR="00F52C48" w:rsidRPr="00F52C48" w:rsidRDefault="00F52C48" w:rsidP="00F52C48">
      <w:pPr>
        <w:spacing w:after="0"/>
        <w:ind w:left="360"/>
        <w:jc w:val="both"/>
        <w:rPr>
          <w:rFonts w:asciiTheme="minorHAnsi" w:hAnsiTheme="minorHAnsi"/>
          <w:color w:val="0070C0"/>
        </w:rPr>
      </w:pPr>
      <w:r w:rsidRPr="00F52C48">
        <w:rPr>
          <w:rFonts w:asciiTheme="minorHAnsi" w:hAnsiTheme="minorHAnsi"/>
          <w:color w:val="0070C0"/>
        </w:rPr>
        <w:t xml:space="preserve">Many leaders want to see proposed solutions that do not require additional resources.  In the example provided, column 3 in Table 3 provides proposed solutions to help meet the goals of the medication safety task list. </w:t>
      </w:r>
    </w:p>
    <w:p w:rsidR="00F52C48" w:rsidRPr="00F52C48" w:rsidRDefault="00F52C48" w:rsidP="00F52C48">
      <w:pPr>
        <w:spacing w:after="0"/>
        <w:ind w:left="360"/>
        <w:jc w:val="both"/>
        <w:rPr>
          <w:rFonts w:asciiTheme="minorHAnsi" w:hAnsiTheme="minorHAnsi"/>
        </w:rPr>
      </w:pPr>
      <w:r w:rsidRPr="00F52C48">
        <w:rPr>
          <w:rFonts w:asciiTheme="minorHAnsi" w:hAnsiTheme="minorHAnsi"/>
        </w:rPr>
        <w:t xml:space="preserve"> </w:t>
      </w:r>
    </w:p>
    <w:p w:rsidR="00F52C48" w:rsidRPr="00F52C48" w:rsidRDefault="00F52C48" w:rsidP="00F52C48">
      <w:pPr>
        <w:spacing w:after="0"/>
        <w:ind w:left="360"/>
        <w:jc w:val="both"/>
        <w:rPr>
          <w:rFonts w:asciiTheme="minorHAnsi" w:hAnsiTheme="minorHAnsi"/>
        </w:rPr>
      </w:pPr>
      <w:r w:rsidRPr="00F52C48">
        <w:rPr>
          <w:rFonts w:asciiTheme="minorHAnsi" w:hAnsiTheme="minorHAnsi"/>
        </w:rPr>
        <w:t>There are currently several gaps in essential medication safety activities that have been identified by the Medication Safety Officer.  These gaps have been outlined in Table 3.</w:t>
      </w:r>
    </w:p>
    <w:p w:rsidR="00F52C48" w:rsidRPr="00F52C48" w:rsidRDefault="00F52C48" w:rsidP="00F52C48">
      <w:pPr>
        <w:ind w:left="360"/>
        <w:jc w:val="both"/>
        <w:rPr>
          <w:rFonts w:asciiTheme="minorHAnsi" w:hAnsiTheme="minorHAnsi"/>
        </w:rPr>
      </w:pPr>
    </w:p>
    <w:tbl>
      <w:tblPr>
        <w:tblStyle w:val="3"/>
        <w:tblW w:w="921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538"/>
        <w:gridCol w:w="4320"/>
        <w:gridCol w:w="2358"/>
      </w:tblGrid>
      <w:tr w:rsidR="00F52C48" w:rsidRPr="00F52C48" w:rsidTr="000D0962">
        <w:tc>
          <w:tcPr>
            <w:tcW w:w="9216" w:type="dxa"/>
            <w:gridSpan w:val="3"/>
            <w:tcBorders>
              <w:bottom w:val="single" w:sz="4" w:space="0" w:color="000000"/>
            </w:tcBorders>
          </w:tcPr>
          <w:p w:rsidR="00F52C48" w:rsidRPr="00F52C48" w:rsidRDefault="00F52C48" w:rsidP="000D0962">
            <w:pPr>
              <w:spacing w:after="200" w:line="276" w:lineRule="auto"/>
              <w:jc w:val="both"/>
              <w:rPr>
                <w:rFonts w:asciiTheme="minorHAnsi" w:hAnsiTheme="minorHAnsi"/>
                <w:color w:val="00B050"/>
              </w:rPr>
            </w:pPr>
            <w:r w:rsidRPr="00F52C48">
              <w:rPr>
                <w:rFonts w:asciiTheme="minorHAnsi" w:hAnsiTheme="minorHAnsi"/>
                <w:color w:val="00B050"/>
              </w:rPr>
              <w:t>Table 3. (Name of Organization) Gaps in Essential Health-system Medication Safety Activities</w:t>
            </w:r>
          </w:p>
        </w:tc>
      </w:tr>
      <w:tr w:rsidR="00F52C48" w:rsidRPr="00F52C48" w:rsidTr="000D0962">
        <w:tc>
          <w:tcPr>
            <w:tcW w:w="2538" w:type="dxa"/>
            <w:tcBorders>
              <w:top w:val="single" w:sz="4" w:space="0" w:color="000000"/>
              <w:bottom w:val="single" w:sz="4" w:space="0" w:color="000000"/>
            </w:tcBorders>
          </w:tcPr>
          <w:p w:rsidR="00F52C48" w:rsidRPr="00F52C48" w:rsidRDefault="00F52C48" w:rsidP="000D0962">
            <w:pPr>
              <w:spacing w:after="200" w:line="276" w:lineRule="auto"/>
              <w:jc w:val="center"/>
              <w:rPr>
                <w:rFonts w:asciiTheme="minorHAnsi" w:hAnsiTheme="minorHAnsi"/>
                <w:color w:val="00B050"/>
              </w:rPr>
            </w:pPr>
            <w:r w:rsidRPr="00F52C48">
              <w:rPr>
                <w:rFonts w:asciiTheme="minorHAnsi" w:hAnsiTheme="minorHAnsi"/>
                <w:color w:val="00B050"/>
              </w:rPr>
              <w:t>Activity</w:t>
            </w:r>
          </w:p>
        </w:tc>
        <w:tc>
          <w:tcPr>
            <w:tcW w:w="4320" w:type="dxa"/>
            <w:tcBorders>
              <w:top w:val="single" w:sz="4" w:space="0" w:color="000000"/>
              <w:bottom w:val="single" w:sz="4" w:space="0" w:color="000000"/>
            </w:tcBorders>
          </w:tcPr>
          <w:p w:rsidR="00F52C48" w:rsidRPr="00F52C48" w:rsidRDefault="00F52C48" w:rsidP="000D0962">
            <w:pPr>
              <w:spacing w:after="200" w:line="276" w:lineRule="auto"/>
              <w:jc w:val="center"/>
              <w:rPr>
                <w:rFonts w:asciiTheme="minorHAnsi" w:hAnsiTheme="minorHAnsi"/>
                <w:color w:val="00B050"/>
              </w:rPr>
            </w:pPr>
            <w:r w:rsidRPr="00F52C48">
              <w:rPr>
                <w:rFonts w:asciiTheme="minorHAnsi" w:hAnsiTheme="minorHAnsi"/>
                <w:color w:val="00B050"/>
              </w:rPr>
              <w:t>Current Gap(s)</w:t>
            </w:r>
          </w:p>
        </w:tc>
        <w:tc>
          <w:tcPr>
            <w:tcW w:w="2358" w:type="dxa"/>
            <w:tcBorders>
              <w:top w:val="single" w:sz="4" w:space="0" w:color="000000"/>
              <w:bottom w:val="single" w:sz="4" w:space="0" w:color="000000"/>
            </w:tcBorders>
          </w:tcPr>
          <w:p w:rsidR="00F52C48" w:rsidRPr="00F52C48" w:rsidRDefault="00F52C48" w:rsidP="000D0962">
            <w:pPr>
              <w:spacing w:after="200" w:line="276" w:lineRule="auto"/>
              <w:jc w:val="center"/>
              <w:rPr>
                <w:rFonts w:asciiTheme="minorHAnsi" w:hAnsiTheme="minorHAnsi"/>
                <w:color w:val="00B050"/>
              </w:rPr>
            </w:pPr>
            <w:r w:rsidRPr="00F52C48">
              <w:rPr>
                <w:rFonts w:asciiTheme="minorHAnsi" w:hAnsiTheme="minorHAnsi"/>
                <w:color w:val="00B050"/>
              </w:rPr>
              <w:t>Proposed Solution to Achieve Compliance</w:t>
            </w:r>
          </w:p>
        </w:tc>
      </w:tr>
      <w:tr w:rsidR="00F52C48" w:rsidRPr="00F52C48" w:rsidTr="000D0962">
        <w:tc>
          <w:tcPr>
            <w:tcW w:w="2538" w:type="dxa"/>
            <w:tcBorders>
              <w:top w:val="single" w:sz="4" w:space="0" w:color="000000"/>
            </w:tcBorders>
          </w:tcPr>
          <w:p w:rsidR="00F52C48" w:rsidRPr="00F52C48" w:rsidRDefault="00F52C48" w:rsidP="000D0962">
            <w:pPr>
              <w:spacing w:after="200" w:line="276" w:lineRule="auto"/>
              <w:rPr>
                <w:rFonts w:asciiTheme="minorHAnsi" w:hAnsiTheme="minorHAnsi"/>
                <w:color w:val="00B050"/>
              </w:rPr>
            </w:pPr>
            <w:r w:rsidRPr="00F52C48">
              <w:rPr>
                <w:rFonts w:asciiTheme="minorHAnsi" w:hAnsiTheme="minorHAnsi"/>
                <w:color w:val="00B050"/>
              </w:rPr>
              <w:t>Medication error reporting</w:t>
            </w:r>
          </w:p>
        </w:tc>
        <w:tc>
          <w:tcPr>
            <w:tcW w:w="4320" w:type="dxa"/>
            <w:tcBorders>
              <w:top w:val="single" w:sz="4" w:space="0" w:color="000000"/>
            </w:tcBorders>
          </w:tcPr>
          <w:p w:rsidR="00F52C48" w:rsidRPr="00F52C48" w:rsidRDefault="00F52C48" w:rsidP="00F52C48">
            <w:pPr>
              <w:numPr>
                <w:ilvl w:val="0"/>
                <w:numId w:val="10"/>
              </w:numPr>
              <w:spacing w:line="276" w:lineRule="auto"/>
              <w:contextualSpacing/>
              <w:rPr>
                <w:rFonts w:asciiTheme="minorHAnsi" w:hAnsiTheme="minorHAnsi"/>
                <w:color w:val="00B050"/>
              </w:rPr>
            </w:pPr>
            <w:r w:rsidRPr="00F52C48">
              <w:rPr>
                <w:rFonts w:asciiTheme="minorHAnsi" w:hAnsiTheme="minorHAnsi"/>
                <w:color w:val="00B050"/>
              </w:rPr>
              <w:t xml:space="preserve">Not currently analyzing contributing factors </w:t>
            </w:r>
          </w:p>
          <w:p w:rsidR="00F52C48" w:rsidRPr="00F52C48" w:rsidRDefault="00F52C48" w:rsidP="000D0962">
            <w:pPr>
              <w:spacing w:after="200" w:line="276" w:lineRule="auto"/>
              <w:rPr>
                <w:rFonts w:asciiTheme="minorHAnsi" w:hAnsiTheme="minorHAnsi"/>
                <w:color w:val="00B050"/>
              </w:rPr>
            </w:pPr>
          </w:p>
        </w:tc>
        <w:tc>
          <w:tcPr>
            <w:tcW w:w="2358" w:type="dxa"/>
            <w:tcBorders>
              <w:top w:val="single" w:sz="4" w:space="0" w:color="000000"/>
            </w:tcBorders>
          </w:tcPr>
          <w:p w:rsidR="00F52C48" w:rsidRPr="00F52C48" w:rsidRDefault="00F52C48" w:rsidP="00F52C48">
            <w:pPr>
              <w:numPr>
                <w:ilvl w:val="0"/>
                <w:numId w:val="10"/>
              </w:numPr>
              <w:spacing w:after="200" w:line="276" w:lineRule="auto"/>
              <w:contextualSpacing/>
              <w:rPr>
                <w:rFonts w:asciiTheme="minorHAnsi" w:hAnsiTheme="minorHAnsi"/>
                <w:color w:val="00B050"/>
              </w:rPr>
            </w:pPr>
            <w:r w:rsidRPr="00F52C48">
              <w:rPr>
                <w:rFonts w:asciiTheme="minorHAnsi" w:hAnsiTheme="minorHAnsi"/>
                <w:color w:val="00B050"/>
              </w:rPr>
              <w:t>Build in to learner responsibilities</w:t>
            </w:r>
          </w:p>
        </w:tc>
      </w:tr>
      <w:tr w:rsidR="00F52C48" w:rsidRPr="00F52C48" w:rsidTr="000D0962">
        <w:tc>
          <w:tcPr>
            <w:tcW w:w="2538" w:type="dxa"/>
          </w:tcPr>
          <w:p w:rsidR="00F52C48" w:rsidRPr="00F52C48" w:rsidRDefault="00F52C48" w:rsidP="000D0962">
            <w:pPr>
              <w:spacing w:after="200" w:line="276" w:lineRule="auto"/>
              <w:rPr>
                <w:rFonts w:asciiTheme="minorHAnsi" w:hAnsiTheme="minorHAnsi"/>
                <w:color w:val="00B050"/>
              </w:rPr>
            </w:pPr>
            <w:r w:rsidRPr="00F52C48">
              <w:rPr>
                <w:rFonts w:asciiTheme="minorHAnsi" w:hAnsiTheme="minorHAnsi"/>
                <w:color w:val="00B050"/>
              </w:rPr>
              <w:t>Infusion pump data analysis</w:t>
            </w:r>
          </w:p>
        </w:tc>
        <w:tc>
          <w:tcPr>
            <w:tcW w:w="4320" w:type="dxa"/>
          </w:tcPr>
          <w:p w:rsidR="00F52C48" w:rsidRPr="00F52C48" w:rsidRDefault="00F52C48" w:rsidP="00F52C48">
            <w:pPr>
              <w:numPr>
                <w:ilvl w:val="0"/>
                <w:numId w:val="2"/>
              </w:numPr>
              <w:spacing w:line="276" w:lineRule="auto"/>
              <w:contextualSpacing/>
              <w:rPr>
                <w:rFonts w:asciiTheme="minorHAnsi" w:hAnsiTheme="minorHAnsi"/>
                <w:color w:val="00B050"/>
              </w:rPr>
            </w:pPr>
            <w:r w:rsidRPr="00F52C48">
              <w:rPr>
                <w:rFonts w:asciiTheme="minorHAnsi" w:hAnsiTheme="minorHAnsi"/>
                <w:color w:val="00B050"/>
              </w:rPr>
              <w:t>Have reviewed utilization data</w:t>
            </w:r>
          </w:p>
          <w:p w:rsidR="00F52C48" w:rsidRPr="00F52C48" w:rsidRDefault="00F52C48" w:rsidP="000D0962">
            <w:pPr>
              <w:numPr>
                <w:ilvl w:val="0"/>
                <w:numId w:val="2"/>
              </w:numPr>
              <w:spacing w:after="200" w:line="276" w:lineRule="auto"/>
              <w:contextualSpacing/>
              <w:rPr>
                <w:rFonts w:asciiTheme="minorHAnsi" w:hAnsiTheme="minorHAnsi"/>
                <w:color w:val="00B050"/>
              </w:rPr>
            </w:pPr>
            <w:r w:rsidRPr="00F52C48">
              <w:rPr>
                <w:rFonts w:asciiTheme="minorHAnsi" w:hAnsiTheme="minorHAnsi"/>
                <w:color w:val="00B050"/>
              </w:rPr>
              <w:t>In-depth analysis of alert overrides not evaluated</w:t>
            </w:r>
          </w:p>
        </w:tc>
        <w:tc>
          <w:tcPr>
            <w:tcW w:w="2358" w:type="dxa"/>
          </w:tcPr>
          <w:p w:rsidR="00F52C48" w:rsidRPr="00F52C48" w:rsidRDefault="00F52C48" w:rsidP="00F52C48">
            <w:pPr>
              <w:numPr>
                <w:ilvl w:val="0"/>
                <w:numId w:val="2"/>
              </w:numPr>
              <w:spacing w:line="276" w:lineRule="auto"/>
              <w:contextualSpacing/>
              <w:rPr>
                <w:rFonts w:asciiTheme="minorHAnsi" w:hAnsiTheme="minorHAnsi"/>
                <w:color w:val="00B050"/>
              </w:rPr>
            </w:pPr>
            <w:r w:rsidRPr="00F52C48">
              <w:rPr>
                <w:rFonts w:asciiTheme="minorHAnsi" w:hAnsiTheme="minorHAnsi"/>
                <w:color w:val="00B050"/>
              </w:rPr>
              <w:t>Resident research project</w:t>
            </w:r>
          </w:p>
          <w:p w:rsidR="00F52C48" w:rsidRPr="00F52C48" w:rsidRDefault="00F52C48" w:rsidP="000D0962">
            <w:pPr>
              <w:spacing w:after="200" w:line="276" w:lineRule="auto"/>
              <w:rPr>
                <w:rFonts w:asciiTheme="minorHAnsi" w:hAnsiTheme="minorHAnsi"/>
                <w:color w:val="00B050"/>
              </w:rPr>
            </w:pPr>
          </w:p>
        </w:tc>
      </w:tr>
    </w:tbl>
    <w:p w:rsidR="00F52C48" w:rsidRPr="00F52C48" w:rsidRDefault="00F52C48" w:rsidP="00F52C48">
      <w:pPr>
        <w:spacing w:after="0"/>
        <w:contextualSpacing/>
        <w:jc w:val="both"/>
        <w:rPr>
          <w:rFonts w:asciiTheme="minorHAnsi" w:hAnsiTheme="minorHAnsi"/>
          <w:b/>
          <w:color w:val="00B050"/>
        </w:rPr>
      </w:pPr>
    </w:p>
    <w:p w:rsidR="00F52C48" w:rsidRPr="00F52C48" w:rsidRDefault="00F52C48" w:rsidP="00F52C48">
      <w:pPr>
        <w:spacing w:after="0"/>
        <w:contextualSpacing/>
        <w:jc w:val="both"/>
        <w:rPr>
          <w:rFonts w:asciiTheme="minorHAnsi" w:hAnsiTheme="minorHAnsi"/>
          <w:b/>
        </w:rPr>
      </w:pPr>
    </w:p>
    <w:p w:rsidR="00F52C48" w:rsidRPr="00F52C48" w:rsidRDefault="00F52C48" w:rsidP="00F52C48">
      <w:pPr>
        <w:spacing w:after="0"/>
        <w:contextualSpacing/>
        <w:jc w:val="both"/>
        <w:rPr>
          <w:rFonts w:asciiTheme="minorHAnsi" w:hAnsiTheme="minorHAnsi"/>
          <w:b/>
        </w:rPr>
      </w:pPr>
    </w:p>
    <w:p w:rsidR="001A6B12" w:rsidRPr="00F52C48" w:rsidRDefault="001A6B12">
      <w:pPr>
        <w:rPr>
          <w:rFonts w:asciiTheme="minorHAnsi" w:hAnsiTheme="minorHAnsi"/>
        </w:rPr>
      </w:pPr>
    </w:p>
    <w:sectPr w:rsidR="001A6B12" w:rsidRPr="00F52C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D5256"/>
    <w:multiLevelType w:val="hybridMultilevel"/>
    <w:tmpl w:val="CC184E62"/>
    <w:lvl w:ilvl="0" w:tplc="86D4FA88">
      <w:start w:val="1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8F5ECF"/>
    <w:multiLevelType w:val="multilevel"/>
    <w:tmpl w:val="D05C160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
    <w:nsid w:val="2E315329"/>
    <w:multiLevelType w:val="multilevel"/>
    <w:tmpl w:val="3236890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
    <w:nsid w:val="348B65A2"/>
    <w:multiLevelType w:val="multilevel"/>
    <w:tmpl w:val="65EA366E"/>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93B5072"/>
    <w:multiLevelType w:val="multilevel"/>
    <w:tmpl w:val="F96EAC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3A866D1A"/>
    <w:multiLevelType w:val="multilevel"/>
    <w:tmpl w:val="B50E63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58A0B4F"/>
    <w:multiLevelType w:val="multilevel"/>
    <w:tmpl w:val="26DC1D6E"/>
    <w:lvl w:ilvl="0">
      <w:start w:val="1"/>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Arial" w:eastAsia="Arial" w:hAnsi="Arial" w:cs="Arial"/>
      </w:rPr>
    </w:lvl>
    <w:lvl w:ilvl="2">
      <w:start w:val="1"/>
      <w:numFmt w:val="bullet"/>
      <w:lvlText w:val="▪"/>
      <w:lvlJc w:val="left"/>
      <w:pPr>
        <w:ind w:left="2520" w:hanging="360"/>
      </w:pPr>
      <w:rPr>
        <w:rFonts w:ascii="Arial" w:eastAsia="Arial" w:hAnsi="Arial" w:cs="Arial"/>
      </w:rPr>
    </w:lvl>
    <w:lvl w:ilvl="3">
      <w:start w:val="1"/>
      <w:numFmt w:val="bullet"/>
      <w:lvlText w:val="●"/>
      <w:lvlJc w:val="left"/>
      <w:pPr>
        <w:ind w:left="3240" w:hanging="360"/>
      </w:pPr>
      <w:rPr>
        <w:rFonts w:ascii="Arial" w:eastAsia="Arial" w:hAnsi="Arial" w:cs="Arial"/>
      </w:rPr>
    </w:lvl>
    <w:lvl w:ilvl="4">
      <w:start w:val="1"/>
      <w:numFmt w:val="bullet"/>
      <w:lvlText w:val="o"/>
      <w:lvlJc w:val="left"/>
      <w:pPr>
        <w:ind w:left="3960" w:hanging="360"/>
      </w:pPr>
      <w:rPr>
        <w:rFonts w:ascii="Arial" w:eastAsia="Arial" w:hAnsi="Arial" w:cs="Arial"/>
      </w:rPr>
    </w:lvl>
    <w:lvl w:ilvl="5">
      <w:start w:val="1"/>
      <w:numFmt w:val="bullet"/>
      <w:lvlText w:val="▪"/>
      <w:lvlJc w:val="left"/>
      <w:pPr>
        <w:ind w:left="4680" w:hanging="360"/>
      </w:pPr>
      <w:rPr>
        <w:rFonts w:ascii="Arial" w:eastAsia="Arial" w:hAnsi="Arial" w:cs="Arial"/>
      </w:rPr>
    </w:lvl>
    <w:lvl w:ilvl="6">
      <w:start w:val="1"/>
      <w:numFmt w:val="bullet"/>
      <w:lvlText w:val="●"/>
      <w:lvlJc w:val="left"/>
      <w:pPr>
        <w:ind w:left="5400" w:hanging="360"/>
      </w:pPr>
      <w:rPr>
        <w:rFonts w:ascii="Arial" w:eastAsia="Arial" w:hAnsi="Arial" w:cs="Arial"/>
      </w:rPr>
    </w:lvl>
    <w:lvl w:ilvl="7">
      <w:start w:val="1"/>
      <w:numFmt w:val="bullet"/>
      <w:lvlText w:val="o"/>
      <w:lvlJc w:val="left"/>
      <w:pPr>
        <w:ind w:left="6120" w:hanging="360"/>
      </w:pPr>
      <w:rPr>
        <w:rFonts w:ascii="Arial" w:eastAsia="Arial" w:hAnsi="Arial" w:cs="Arial"/>
      </w:rPr>
    </w:lvl>
    <w:lvl w:ilvl="8">
      <w:start w:val="1"/>
      <w:numFmt w:val="bullet"/>
      <w:lvlText w:val="▪"/>
      <w:lvlJc w:val="left"/>
      <w:pPr>
        <w:ind w:left="6840" w:hanging="360"/>
      </w:pPr>
      <w:rPr>
        <w:rFonts w:ascii="Arial" w:eastAsia="Arial" w:hAnsi="Arial" w:cs="Arial"/>
      </w:rPr>
    </w:lvl>
  </w:abstractNum>
  <w:abstractNum w:abstractNumId="7">
    <w:nsid w:val="66F75B3D"/>
    <w:multiLevelType w:val="multilevel"/>
    <w:tmpl w:val="D6C0131A"/>
    <w:lvl w:ilvl="0">
      <w:start w:val="1"/>
      <w:numFmt w:val="bullet"/>
      <w:lvlText w:val="●"/>
      <w:lvlJc w:val="left"/>
      <w:pPr>
        <w:ind w:left="360" w:hanging="360"/>
      </w:pPr>
      <w:rPr>
        <w:rFonts w:ascii="Arial" w:eastAsia="Arial" w:hAnsi="Arial" w:cs="Arial"/>
      </w:rPr>
    </w:lvl>
    <w:lvl w:ilvl="1">
      <w:start w:val="1"/>
      <w:numFmt w:val="bullet"/>
      <w:lvlText w:val="o"/>
      <w:lvlJc w:val="left"/>
      <w:pPr>
        <w:ind w:left="81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8">
    <w:nsid w:val="670B54EA"/>
    <w:multiLevelType w:val="multilevel"/>
    <w:tmpl w:val="BF023B62"/>
    <w:lvl w:ilvl="0">
      <w:start w:val="1"/>
      <w:numFmt w:val="bullet"/>
      <w:lvlText w:val="●"/>
      <w:lvlJc w:val="left"/>
      <w:pPr>
        <w:ind w:left="360" w:hanging="360"/>
      </w:pPr>
      <w:rPr>
        <w:rFonts w:ascii="Arial" w:eastAsia="Arial" w:hAnsi="Arial" w:cs="Arial"/>
      </w:rPr>
    </w:lvl>
    <w:lvl w:ilvl="1">
      <w:start w:val="1"/>
      <w:numFmt w:val="bullet"/>
      <w:lvlText w:val="o"/>
      <w:lvlJc w:val="left"/>
      <w:pPr>
        <w:ind w:left="81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9">
    <w:nsid w:val="69693D11"/>
    <w:multiLevelType w:val="multilevel"/>
    <w:tmpl w:val="F9E8C566"/>
    <w:lvl w:ilvl="0">
      <w:start w:val="1"/>
      <w:numFmt w:val="decimal"/>
      <w:lvlText w:val="%1."/>
      <w:lvlJc w:val="left"/>
      <w:pPr>
        <w:ind w:left="360" w:hanging="360"/>
      </w:pPr>
    </w:lvl>
    <w:lvl w:ilvl="1">
      <w:start w:val="1"/>
      <w:numFmt w:val="bullet"/>
      <w:lvlText w:val="●"/>
      <w:lvlJc w:val="left"/>
      <w:pPr>
        <w:ind w:left="1080" w:hanging="360"/>
      </w:pPr>
      <w:rPr>
        <w:rFonts w:ascii="Arial" w:eastAsia="Arial" w:hAnsi="Arial" w:cs="Aria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76961F10"/>
    <w:multiLevelType w:val="multilevel"/>
    <w:tmpl w:val="E1FAC1A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abstractNumId w:val="1"/>
  </w:num>
  <w:num w:numId="2">
    <w:abstractNumId w:val="7"/>
  </w:num>
  <w:num w:numId="3">
    <w:abstractNumId w:val="10"/>
  </w:num>
  <w:num w:numId="4">
    <w:abstractNumId w:val="2"/>
  </w:num>
  <w:num w:numId="5">
    <w:abstractNumId w:val="9"/>
  </w:num>
  <w:num w:numId="6">
    <w:abstractNumId w:val="4"/>
  </w:num>
  <w:num w:numId="7">
    <w:abstractNumId w:val="5"/>
  </w:num>
  <w:num w:numId="8">
    <w:abstractNumId w:val="6"/>
  </w:num>
  <w:num w:numId="9">
    <w:abstractNumId w:val="3"/>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C48"/>
    <w:rsid w:val="001A6B12"/>
    <w:rsid w:val="0063080B"/>
    <w:rsid w:val="00A8409E"/>
    <w:rsid w:val="00A95482"/>
    <w:rsid w:val="00F52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52C48"/>
    <w:pPr>
      <w:widowControl w:val="0"/>
      <w:pBdr>
        <w:top w:val="nil"/>
        <w:left w:val="nil"/>
        <w:bottom w:val="nil"/>
        <w:right w:val="nil"/>
        <w:between w:val="nil"/>
      </w:pBdr>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9">
    <w:name w:val="9"/>
    <w:basedOn w:val="TableNormal"/>
    <w:rsid w:val="00F52C48"/>
    <w:pPr>
      <w:widowControl w:val="0"/>
      <w:pBdr>
        <w:top w:val="nil"/>
        <w:left w:val="nil"/>
        <w:bottom w:val="nil"/>
        <w:right w:val="nil"/>
        <w:between w:val="nil"/>
      </w:pBdr>
      <w:spacing w:after="0" w:line="240" w:lineRule="auto"/>
    </w:pPr>
    <w:rPr>
      <w:rFonts w:ascii="Calibri" w:eastAsia="Calibri" w:hAnsi="Calibri" w:cs="Calibri"/>
      <w:color w:val="000000"/>
    </w:rPr>
    <w:tblPr>
      <w:tblStyleRowBandSize w:val="1"/>
      <w:tblStyleColBandSize w:val="1"/>
      <w:tblCellMar>
        <w:left w:w="115" w:type="dxa"/>
        <w:right w:w="115" w:type="dxa"/>
      </w:tblCellMar>
    </w:tblPr>
  </w:style>
  <w:style w:type="table" w:customStyle="1" w:styleId="8">
    <w:name w:val="8"/>
    <w:basedOn w:val="TableNormal"/>
    <w:rsid w:val="00F52C48"/>
    <w:pPr>
      <w:widowControl w:val="0"/>
      <w:pBdr>
        <w:top w:val="nil"/>
        <w:left w:val="nil"/>
        <w:bottom w:val="nil"/>
        <w:right w:val="nil"/>
        <w:between w:val="nil"/>
      </w:pBdr>
      <w:spacing w:after="0" w:line="240" w:lineRule="auto"/>
    </w:pPr>
    <w:rPr>
      <w:rFonts w:ascii="Calibri" w:eastAsia="Calibri" w:hAnsi="Calibri" w:cs="Calibri"/>
      <w:color w:val="000000"/>
    </w:rPr>
    <w:tblPr>
      <w:tblStyleRowBandSize w:val="1"/>
      <w:tblStyleColBandSize w:val="1"/>
      <w:tblCellMar>
        <w:left w:w="115" w:type="dxa"/>
        <w:right w:w="115" w:type="dxa"/>
      </w:tblCellMar>
    </w:tblPr>
  </w:style>
  <w:style w:type="table" w:customStyle="1" w:styleId="7">
    <w:name w:val="7"/>
    <w:basedOn w:val="TableNormal"/>
    <w:rsid w:val="00F52C48"/>
    <w:pPr>
      <w:widowControl w:val="0"/>
      <w:pBdr>
        <w:top w:val="nil"/>
        <w:left w:val="nil"/>
        <w:bottom w:val="nil"/>
        <w:right w:val="nil"/>
        <w:between w:val="nil"/>
      </w:pBdr>
      <w:spacing w:after="0" w:line="240" w:lineRule="auto"/>
    </w:pPr>
    <w:rPr>
      <w:rFonts w:ascii="Calibri" w:eastAsia="Calibri" w:hAnsi="Calibri" w:cs="Calibri"/>
      <w:color w:val="000000"/>
    </w:rPr>
    <w:tblPr>
      <w:tblStyleRowBandSize w:val="1"/>
      <w:tblStyleColBandSize w:val="1"/>
      <w:tblCellMar>
        <w:left w:w="115" w:type="dxa"/>
        <w:right w:w="115" w:type="dxa"/>
      </w:tblCellMar>
    </w:tblPr>
  </w:style>
  <w:style w:type="table" w:customStyle="1" w:styleId="6">
    <w:name w:val="6"/>
    <w:basedOn w:val="TableNormal"/>
    <w:rsid w:val="00F52C48"/>
    <w:pPr>
      <w:widowControl w:val="0"/>
      <w:pBdr>
        <w:top w:val="nil"/>
        <w:left w:val="nil"/>
        <w:bottom w:val="nil"/>
        <w:right w:val="nil"/>
        <w:between w:val="nil"/>
      </w:pBdr>
      <w:spacing w:after="0" w:line="240" w:lineRule="auto"/>
    </w:pPr>
    <w:rPr>
      <w:rFonts w:ascii="Calibri" w:eastAsia="Calibri" w:hAnsi="Calibri" w:cs="Calibri"/>
      <w:color w:val="000000"/>
    </w:rPr>
    <w:tblPr>
      <w:tblStyleRowBandSize w:val="1"/>
      <w:tblStyleColBandSize w:val="1"/>
      <w:tblCellMar>
        <w:left w:w="115" w:type="dxa"/>
        <w:right w:w="115" w:type="dxa"/>
      </w:tblCellMar>
    </w:tblPr>
  </w:style>
  <w:style w:type="table" w:customStyle="1" w:styleId="5">
    <w:name w:val="5"/>
    <w:basedOn w:val="TableNormal"/>
    <w:rsid w:val="00F52C48"/>
    <w:pPr>
      <w:widowControl w:val="0"/>
      <w:pBdr>
        <w:top w:val="nil"/>
        <w:left w:val="nil"/>
        <w:bottom w:val="nil"/>
        <w:right w:val="nil"/>
        <w:between w:val="nil"/>
      </w:pBdr>
      <w:spacing w:after="0" w:line="240" w:lineRule="auto"/>
    </w:pPr>
    <w:rPr>
      <w:rFonts w:ascii="Calibri" w:eastAsia="Calibri" w:hAnsi="Calibri" w:cs="Calibri"/>
      <w:color w:val="000000"/>
    </w:rPr>
    <w:tblPr>
      <w:tblStyleRowBandSize w:val="1"/>
      <w:tblStyleColBandSize w:val="1"/>
      <w:tblCellMar>
        <w:left w:w="115" w:type="dxa"/>
        <w:right w:w="115" w:type="dxa"/>
      </w:tblCellMar>
    </w:tblPr>
  </w:style>
  <w:style w:type="table" w:customStyle="1" w:styleId="3">
    <w:name w:val="3"/>
    <w:basedOn w:val="TableNormal"/>
    <w:rsid w:val="00F52C48"/>
    <w:pPr>
      <w:widowControl w:val="0"/>
      <w:pBdr>
        <w:top w:val="nil"/>
        <w:left w:val="nil"/>
        <w:bottom w:val="nil"/>
        <w:right w:val="nil"/>
        <w:between w:val="nil"/>
      </w:pBdr>
      <w:spacing w:after="0" w:line="240" w:lineRule="auto"/>
    </w:pPr>
    <w:rPr>
      <w:rFonts w:ascii="Calibri" w:eastAsia="Calibri" w:hAnsi="Calibri" w:cs="Calibri"/>
      <w:color w:val="000000"/>
    </w:r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sid w:val="00F52C48"/>
    <w:pPr>
      <w:spacing w:line="240" w:lineRule="auto"/>
    </w:pPr>
    <w:rPr>
      <w:sz w:val="20"/>
      <w:szCs w:val="20"/>
    </w:rPr>
  </w:style>
  <w:style w:type="character" w:customStyle="1" w:styleId="CommentTextChar">
    <w:name w:val="Comment Text Char"/>
    <w:basedOn w:val="DefaultParagraphFont"/>
    <w:link w:val="CommentText"/>
    <w:uiPriority w:val="99"/>
    <w:semiHidden/>
    <w:rsid w:val="00F52C48"/>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sid w:val="00F52C48"/>
    <w:rPr>
      <w:sz w:val="16"/>
      <w:szCs w:val="16"/>
    </w:rPr>
  </w:style>
  <w:style w:type="paragraph" w:styleId="ListParagraph">
    <w:name w:val="List Paragraph"/>
    <w:basedOn w:val="Normal"/>
    <w:uiPriority w:val="34"/>
    <w:qFormat/>
    <w:rsid w:val="00F52C48"/>
    <w:pPr>
      <w:ind w:left="720"/>
      <w:contextualSpacing/>
    </w:pPr>
  </w:style>
  <w:style w:type="character" w:styleId="PlaceholderText">
    <w:name w:val="Placeholder Text"/>
    <w:basedOn w:val="DefaultParagraphFont"/>
    <w:uiPriority w:val="99"/>
    <w:semiHidden/>
    <w:rsid w:val="00F52C48"/>
    <w:rPr>
      <w:color w:val="808080"/>
    </w:rPr>
  </w:style>
  <w:style w:type="paragraph" w:styleId="BalloonText">
    <w:name w:val="Balloon Text"/>
    <w:basedOn w:val="Normal"/>
    <w:link w:val="BalloonTextChar"/>
    <w:uiPriority w:val="99"/>
    <w:semiHidden/>
    <w:unhideWhenUsed/>
    <w:rsid w:val="00F52C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C48"/>
    <w:rPr>
      <w:rFonts w:ascii="Tahoma" w:eastAsia="Calibri" w:hAnsi="Tahoma" w:cs="Tahoma"/>
      <w:color w:val="000000"/>
      <w:sz w:val="16"/>
      <w:szCs w:val="16"/>
    </w:rPr>
  </w:style>
  <w:style w:type="paragraph" w:styleId="Revision">
    <w:name w:val="Revision"/>
    <w:hidden/>
    <w:uiPriority w:val="99"/>
    <w:semiHidden/>
    <w:rsid w:val="00F52C48"/>
    <w:pPr>
      <w:spacing w:after="0" w:line="240" w:lineRule="auto"/>
    </w:pPr>
    <w:rPr>
      <w:rFonts w:ascii="Calibri" w:eastAsia="Calibri" w:hAnsi="Calibri" w:cs="Calibri"/>
      <w:color w:val="000000"/>
    </w:rPr>
  </w:style>
  <w:style w:type="paragraph" w:styleId="Title">
    <w:name w:val="Title"/>
    <w:basedOn w:val="Normal"/>
    <w:next w:val="Normal"/>
    <w:link w:val="TitleChar"/>
    <w:uiPriority w:val="10"/>
    <w:qFormat/>
    <w:rsid w:val="00F52C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52C4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52C48"/>
    <w:pPr>
      <w:widowControl w:val="0"/>
      <w:pBdr>
        <w:top w:val="nil"/>
        <w:left w:val="nil"/>
        <w:bottom w:val="nil"/>
        <w:right w:val="nil"/>
        <w:between w:val="nil"/>
      </w:pBdr>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9">
    <w:name w:val="9"/>
    <w:basedOn w:val="TableNormal"/>
    <w:rsid w:val="00F52C48"/>
    <w:pPr>
      <w:widowControl w:val="0"/>
      <w:pBdr>
        <w:top w:val="nil"/>
        <w:left w:val="nil"/>
        <w:bottom w:val="nil"/>
        <w:right w:val="nil"/>
        <w:between w:val="nil"/>
      </w:pBdr>
      <w:spacing w:after="0" w:line="240" w:lineRule="auto"/>
    </w:pPr>
    <w:rPr>
      <w:rFonts w:ascii="Calibri" w:eastAsia="Calibri" w:hAnsi="Calibri" w:cs="Calibri"/>
      <w:color w:val="000000"/>
    </w:rPr>
    <w:tblPr>
      <w:tblStyleRowBandSize w:val="1"/>
      <w:tblStyleColBandSize w:val="1"/>
      <w:tblCellMar>
        <w:left w:w="115" w:type="dxa"/>
        <w:right w:w="115" w:type="dxa"/>
      </w:tblCellMar>
    </w:tblPr>
  </w:style>
  <w:style w:type="table" w:customStyle="1" w:styleId="8">
    <w:name w:val="8"/>
    <w:basedOn w:val="TableNormal"/>
    <w:rsid w:val="00F52C48"/>
    <w:pPr>
      <w:widowControl w:val="0"/>
      <w:pBdr>
        <w:top w:val="nil"/>
        <w:left w:val="nil"/>
        <w:bottom w:val="nil"/>
        <w:right w:val="nil"/>
        <w:between w:val="nil"/>
      </w:pBdr>
      <w:spacing w:after="0" w:line="240" w:lineRule="auto"/>
    </w:pPr>
    <w:rPr>
      <w:rFonts w:ascii="Calibri" w:eastAsia="Calibri" w:hAnsi="Calibri" w:cs="Calibri"/>
      <w:color w:val="000000"/>
    </w:rPr>
    <w:tblPr>
      <w:tblStyleRowBandSize w:val="1"/>
      <w:tblStyleColBandSize w:val="1"/>
      <w:tblCellMar>
        <w:left w:w="115" w:type="dxa"/>
        <w:right w:w="115" w:type="dxa"/>
      </w:tblCellMar>
    </w:tblPr>
  </w:style>
  <w:style w:type="table" w:customStyle="1" w:styleId="7">
    <w:name w:val="7"/>
    <w:basedOn w:val="TableNormal"/>
    <w:rsid w:val="00F52C48"/>
    <w:pPr>
      <w:widowControl w:val="0"/>
      <w:pBdr>
        <w:top w:val="nil"/>
        <w:left w:val="nil"/>
        <w:bottom w:val="nil"/>
        <w:right w:val="nil"/>
        <w:between w:val="nil"/>
      </w:pBdr>
      <w:spacing w:after="0" w:line="240" w:lineRule="auto"/>
    </w:pPr>
    <w:rPr>
      <w:rFonts w:ascii="Calibri" w:eastAsia="Calibri" w:hAnsi="Calibri" w:cs="Calibri"/>
      <w:color w:val="000000"/>
    </w:rPr>
    <w:tblPr>
      <w:tblStyleRowBandSize w:val="1"/>
      <w:tblStyleColBandSize w:val="1"/>
      <w:tblCellMar>
        <w:left w:w="115" w:type="dxa"/>
        <w:right w:w="115" w:type="dxa"/>
      </w:tblCellMar>
    </w:tblPr>
  </w:style>
  <w:style w:type="table" w:customStyle="1" w:styleId="6">
    <w:name w:val="6"/>
    <w:basedOn w:val="TableNormal"/>
    <w:rsid w:val="00F52C48"/>
    <w:pPr>
      <w:widowControl w:val="0"/>
      <w:pBdr>
        <w:top w:val="nil"/>
        <w:left w:val="nil"/>
        <w:bottom w:val="nil"/>
        <w:right w:val="nil"/>
        <w:between w:val="nil"/>
      </w:pBdr>
      <w:spacing w:after="0" w:line="240" w:lineRule="auto"/>
    </w:pPr>
    <w:rPr>
      <w:rFonts w:ascii="Calibri" w:eastAsia="Calibri" w:hAnsi="Calibri" w:cs="Calibri"/>
      <w:color w:val="000000"/>
    </w:rPr>
    <w:tblPr>
      <w:tblStyleRowBandSize w:val="1"/>
      <w:tblStyleColBandSize w:val="1"/>
      <w:tblCellMar>
        <w:left w:w="115" w:type="dxa"/>
        <w:right w:w="115" w:type="dxa"/>
      </w:tblCellMar>
    </w:tblPr>
  </w:style>
  <w:style w:type="table" w:customStyle="1" w:styleId="5">
    <w:name w:val="5"/>
    <w:basedOn w:val="TableNormal"/>
    <w:rsid w:val="00F52C48"/>
    <w:pPr>
      <w:widowControl w:val="0"/>
      <w:pBdr>
        <w:top w:val="nil"/>
        <w:left w:val="nil"/>
        <w:bottom w:val="nil"/>
        <w:right w:val="nil"/>
        <w:between w:val="nil"/>
      </w:pBdr>
      <w:spacing w:after="0" w:line="240" w:lineRule="auto"/>
    </w:pPr>
    <w:rPr>
      <w:rFonts w:ascii="Calibri" w:eastAsia="Calibri" w:hAnsi="Calibri" w:cs="Calibri"/>
      <w:color w:val="000000"/>
    </w:rPr>
    <w:tblPr>
      <w:tblStyleRowBandSize w:val="1"/>
      <w:tblStyleColBandSize w:val="1"/>
      <w:tblCellMar>
        <w:left w:w="115" w:type="dxa"/>
        <w:right w:w="115" w:type="dxa"/>
      </w:tblCellMar>
    </w:tblPr>
  </w:style>
  <w:style w:type="table" w:customStyle="1" w:styleId="3">
    <w:name w:val="3"/>
    <w:basedOn w:val="TableNormal"/>
    <w:rsid w:val="00F52C48"/>
    <w:pPr>
      <w:widowControl w:val="0"/>
      <w:pBdr>
        <w:top w:val="nil"/>
        <w:left w:val="nil"/>
        <w:bottom w:val="nil"/>
        <w:right w:val="nil"/>
        <w:between w:val="nil"/>
      </w:pBdr>
      <w:spacing w:after="0" w:line="240" w:lineRule="auto"/>
    </w:pPr>
    <w:rPr>
      <w:rFonts w:ascii="Calibri" w:eastAsia="Calibri" w:hAnsi="Calibri" w:cs="Calibri"/>
      <w:color w:val="000000"/>
    </w:r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sid w:val="00F52C48"/>
    <w:pPr>
      <w:spacing w:line="240" w:lineRule="auto"/>
    </w:pPr>
    <w:rPr>
      <w:sz w:val="20"/>
      <w:szCs w:val="20"/>
    </w:rPr>
  </w:style>
  <w:style w:type="character" w:customStyle="1" w:styleId="CommentTextChar">
    <w:name w:val="Comment Text Char"/>
    <w:basedOn w:val="DefaultParagraphFont"/>
    <w:link w:val="CommentText"/>
    <w:uiPriority w:val="99"/>
    <w:semiHidden/>
    <w:rsid w:val="00F52C48"/>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sid w:val="00F52C48"/>
    <w:rPr>
      <w:sz w:val="16"/>
      <w:szCs w:val="16"/>
    </w:rPr>
  </w:style>
  <w:style w:type="paragraph" w:styleId="ListParagraph">
    <w:name w:val="List Paragraph"/>
    <w:basedOn w:val="Normal"/>
    <w:uiPriority w:val="34"/>
    <w:qFormat/>
    <w:rsid w:val="00F52C48"/>
    <w:pPr>
      <w:ind w:left="720"/>
      <w:contextualSpacing/>
    </w:pPr>
  </w:style>
  <w:style w:type="character" w:styleId="PlaceholderText">
    <w:name w:val="Placeholder Text"/>
    <w:basedOn w:val="DefaultParagraphFont"/>
    <w:uiPriority w:val="99"/>
    <w:semiHidden/>
    <w:rsid w:val="00F52C48"/>
    <w:rPr>
      <w:color w:val="808080"/>
    </w:rPr>
  </w:style>
  <w:style w:type="paragraph" w:styleId="BalloonText">
    <w:name w:val="Balloon Text"/>
    <w:basedOn w:val="Normal"/>
    <w:link w:val="BalloonTextChar"/>
    <w:uiPriority w:val="99"/>
    <w:semiHidden/>
    <w:unhideWhenUsed/>
    <w:rsid w:val="00F52C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C48"/>
    <w:rPr>
      <w:rFonts w:ascii="Tahoma" w:eastAsia="Calibri" w:hAnsi="Tahoma" w:cs="Tahoma"/>
      <w:color w:val="000000"/>
      <w:sz w:val="16"/>
      <w:szCs w:val="16"/>
    </w:rPr>
  </w:style>
  <w:style w:type="paragraph" w:styleId="Revision">
    <w:name w:val="Revision"/>
    <w:hidden/>
    <w:uiPriority w:val="99"/>
    <w:semiHidden/>
    <w:rsid w:val="00F52C48"/>
    <w:pPr>
      <w:spacing w:after="0" w:line="240" w:lineRule="auto"/>
    </w:pPr>
    <w:rPr>
      <w:rFonts w:ascii="Calibri" w:eastAsia="Calibri" w:hAnsi="Calibri" w:cs="Calibri"/>
      <w:color w:val="000000"/>
    </w:rPr>
  </w:style>
  <w:style w:type="paragraph" w:styleId="Title">
    <w:name w:val="Title"/>
    <w:basedOn w:val="Normal"/>
    <w:next w:val="Normal"/>
    <w:link w:val="TitleChar"/>
    <w:uiPriority w:val="10"/>
    <w:qFormat/>
    <w:rsid w:val="00F52C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52C4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CB76E17489C4E069CE091CAB2A440FC"/>
        <w:category>
          <w:name w:val="General"/>
          <w:gallery w:val="placeholder"/>
        </w:category>
        <w:types>
          <w:type w:val="bbPlcHdr"/>
        </w:types>
        <w:behaviors>
          <w:behavior w:val="content"/>
        </w:behaviors>
        <w:guid w:val="{AC158834-19EF-46DF-9F19-F82C5533CA1B}"/>
      </w:docPartPr>
      <w:docPartBody>
        <w:p w:rsidR="00DD08A5" w:rsidRDefault="00265CB3" w:rsidP="00265CB3">
          <w:pPr>
            <w:pStyle w:val="7CB76E17489C4E069CE091CAB2A440FC"/>
          </w:pPr>
          <w:r w:rsidRPr="00F63153">
            <w:rPr>
              <w:rStyle w:val="PlaceholderText"/>
            </w:rPr>
            <w:t>Click or tap here to enter text.</w:t>
          </w:r>
        </w:p>
      </w:docPartBody>
    </w:docPart>
    <w:docPart>
      <w:docPartPr>
        <w:name w:val="620664EFF02E434194D4DD640483D755"/>
        <w:category>
          <w:name w:val="General"/>
          <w:gallery w:val="placeholder"/>
        </w:category>
        <w:types>
          <w:type w:val="bbPlcHdr"/>
        </w:types>
        <w:behaviors>
          <w:behavior w:val="content"/>
        </w:behaviors>
        <w:guid w:val="{E6291B29-7974-44B6-89C1-2BFF2CE2D921}"/>
      </w:docPartPr>
      <w:docPartBody>
        <w:p w:rsidR="00DD08A5" w:rsidRDefault="00265CB3" w:rsidP="00265CB3">
          <w:pPr>
            <w:pStyle w:val="620664EFF02E434194D4DD640483D755"/>
          </w:pPr>
          <w:r w:rsidRPr="00F6315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CB3"/>
    <w:rsid w:val="00265CB3"/>
    <w:rsid w:val="00DD0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65CB3"/>
    <w:rPr>
      <w:color w:val="808080"/>
    </w:rPr>
  </w:style>
  <w:style w:type="paragraph" w:customStyle="1" w:styleId="7CB76E17489C4E069CE091CAB2A440FC">
    <w:name w:val="7CB76E17489C4E069CE091CAB2A440FC"/>
    <w:rsid w:val="00265CB3"/>
  </w:style>
  <w:style w:type="paragraph" w:customStyle="1" w:styleId="620664EFF02E434194D4DD640483D755">
    <w:name w:val="620664EFF02E434194D4DD640483D755"/>
    <w:rsid w:val="00265CB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65CB3"/>
    <w:rPr>
      <w:color w:val="808080"/>
    </w:rPr>
  </w:style>
  <w:style w:type="paragraph" w:customStyle="1" w:styleId="7CB76E17489C4E069CE091CAB2A440FC">
    <w:name w:val="7CB76E17489C4E069CE091CAB2A440FC"/>
    <w:rsid w:val="00265CB3"/>
  </w:style>
  <w:style w:type="paragraph" w:customStyle="1" w:styleId="620664EFF02E434194D4DD640483D755">
    <w:name w:val="620664EFF02E434194D4DD640483D755"/>
    <w:rsid w:val="00265C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2732</Words>
  <Characters>15576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ASHP</Company>
  <LinksUpToDate>false</LinksUpToDate>
  <CharactersWithSpaces>18272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Brennan Dalecki</dc:creator>
  <cp:lastModifiedBy>Brennan Dalecki</cp:lastModifiedBy>
  <cp:revision>3</cp:revision>
  <dcterms:created xsi:type="dcterms:W3CDTF">2018-08-28T15:42:00Z</dcterms:created>
  <dcterms:modified xsi:type="dcterms:W3CDTF">2018-08-28T15:43:00Z</dcterms:modified>
</cp:coreProperties>
</file>